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DE87" w14:textId="4F6CE5D8" w:rsidR="00E203C2" w:rsidRDefault="00E203C2" w:rsidP="00E203C2">
      <w:r>
        <w:rPr>
          <w:noProof/>
          <w:lang w:eastAsia="en-GB" w:bidi="ar-SA"/>
        </w:rPr>
        <w:drawing>
          <wp:inline distT="0" distB="0" distL="0" distR="0" wp14:anchorId="6A7A3F18" wp14:editId="1FBA81F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7C1CE5E" w14:textId="77777777" w:rsidR="00E203C2" w:rsidRDefault="00E203C2" w:rsidP="00E203C2"/>
    <w:p w14:paraId="6CF2958B" w14:textId="77777777" w:rsidR="00180FD0" w:rsidRDefault="00180FD0" w:rsidP="00180FD0"/>
    <w:p w14:paraId="65A88F91" w14:textId="77777777" w:rsidR="00F51A9F" w:rsidRDefault="00F51A9F" w:rsidP="00F51A9F">
      <w:pPr>
        <w:rPr>
          <w:b/>
          <w:sz w:val="28"/>
          <w:szCs w:val="28"/>
        </w:rPr>
      </w:pPr>
      <w:r>
        <w:rPr>
          <w:b/>
          <w:sz w:val="28"/>
          <w:szCs w:val="28"/>
        </w:rPr>
        <w:t>17 November 2021</w:t>
      </w:r>
    </w:p>
    <w:p w14:paraId="0E989CCC" w14:textId="77777777" w:rsidR="00F51A9F" w:rsidRDefault="00F51A9F" w:rsidP="00F51A9F">
      <w:pPr>
        <w:rPr>
          <w:b/>
          <w:sz w:val="28"/>
          <w:szCs w:val="28"/>
        </w:rPr>
      </w:pPr>
      <w:r>
        <w:rPr>
          <w:b/>
          <w:sz w:val="28"/>
          <w:szCs w:val="28"/>
        </w:rPr>
        <w:t>179-21</w:t>
      </w:r>
    </w:p>
    <w:p w14:paraId="20BDE6BD" w14:textId="77777777" w:rsidR="0057615C" w:rsidRPr="0057615C" w:rsidRDefault="0057615C" w:rsidP="00690206">
      <w:pPr>
        <w:pStyle w:val="FSTitle"/>
        <w:rPr>
          <w:b/>
          <w:sz w:val="22"/>
        </w:rPr>
      </w:pPr>
      <w:bookmarkStart w:id="0" w:name="_GoBack"/>
      <w:bookmarkEnd w:id="0"/>
    </w:p>
    <w:p w14:paraId="3049969C" w14:textId="7717C5E8" w:rsidR="00092CDA" w:rsidRPr="005B7A73" w:rsidRDefault="00092CDA" w:rsidP="00690206">
      <w:pPr>
        <w:pStyle w:val="FSTitle"/>
        <w:rPr>
          <w:b/>
        </w:rPr>
      </w:pPr>
      <w:r w:rsidRPr="005B7A73">
        <w:rPr>
          <w:b/>
        </w:rPr>
        <w:t>S</w:t>
      </w:r>
      <w:r w:rsidR="00B12F1E" w:rsidRPr="005B7A73">
        <w:rPr>
          <w:b/>
        </w:rPr>
        <w:t xml:space="preserve">upporting </w:t>
      </w:r>
      <w:r w:rsidR="00B12F1E" w:rsidRPr="008D1854">
        <w:rPr>
          <w:b/>
        </w:rPr>
        <w:t>document</w:t>
      </w:r>
      <w:r w:rsidRPr="008D1854">
        <w:rPr>
          <w:b/>
        </w:rPr>
        <w:t xml:space="preserve"> </w:t>
      </w:r>
      <w:r w:rsidR="00F67F38">
        <w:rPr>
          <w:b/>
        </w:rPr>
        <w:t>5</w:t>
      </w:r>
    </w:p>
    <w:p w14:paraId="1223B01F" w14:textId="77777777" w:rsidR="00BA24E2" w:rsidRDefault="00BA24E2" w:rsidP="00E203C2"/>
    <w:p w14:paraId="7E2859BE" w14:textId="77777777" w:rsidR="00D056F1" w:rsidRPr="00662C16" w:rsidRDefault="00662C16" w:rsidP="00690206">
      <w:pPr>
        <w:pStyle w:val="FSTitle"/>
      </w:pPr>
      <w:r w:rsidRPr="00662C16">
        <w:t>Horticulture Standards Development Advisory Group</w:t>
      </w:r>
    </w:p>
    <w:p w14:paraId="6D07CEF9" w14:textId="77777777" w:rsidR="00662C16" w:rsidRPr="00662C16" w:rsidRDefault="00662C16" w:rsidP="00690206">
      <w:pPr>
        <w:pStyle w:val="FSTitle"/>
      </w:pPr>
    </w:p>
    <w:p w14:paraId="5F9C1786" w14:textId="77777777" w:rsidR="00662C16" w:rsidRPr="00662C16" w:rsidRDefault="00662C16" w:rsidP="00690206">
      <w:pPr>
        <w:pStyle w:val="FSTitle"/>
      </w:pPr>
      <w:r w:rsidRPr="00662C16">
        <w:t>P1052 – Primary Production and Processing Requirements for Horticulture (Berries, Leafy Vegetables and Melons)</w:t>
      </w:r>
    </w:p>
    <w:p w14:paraId="023F4D45" w14:textId="77777777" w:rsidR="00E203C2" w:rsidRPr="00690206" w:rsidRDefault="00E203C2" w:rsidP="00690206"/>
    <w:p w14:paraId="5183FE85" w14:textId="77777777" w:rsidR="00E203C2" w:rsidRPr="00B37BF0" w:rsidRDefault="00E203C2" w:rsidP="00E203C2">
      <w:pPr>
        <w:pBdr>
          <w:bottom w:val="single" w:sz="12" w:space="1" w:color="auto"/>
        </w:pBdr>
        <w:spacing w:line="280" w:lineRule="exact"/>
        <w:rPr>
          <w:rFonts w:cs="Arial"/>
          <w:bCs/>
        </w:rPr>
      </w:pPr>
    </w:p>
    <w:p w14:paraId="4FC825D6" w14:textId="77777777" w:rsidR="00E203C2" w:rsidRPr="00B37BF0" w:rsidRDefault="00E203C2" w:rsidP="00E203C2"/>
    <w:p w14:paraId="4C605457" w14:textId="77777777" w:rsidR="00092CDA" w:rsidRPr="00092CDA" w:rsidRDefault="00092CDA" w:rsidP="00352CF2">
      <w:pPr>
        <w:pStyle w:val="Heading1"/>
        <w:spacing w:before="0"/>
      </w:pPr>
      <w:bookmarkStart w:id="1" w:name="_Toc286391001"/>
      <w:bookmarkStart w:id="2" w:name="_Toc300933414"/>
      <w:bookmarkStart w:id="3" w:name="_Toc453078193"/>
      <w:bookmarkStart w:id="4" w:name="_Toc87450530"/>
      <w:r w:rsidRPr="00092CDA">
        <w:t xml:space="preserve">Executive </w:t>
      </w:r>
      <w:r w:rsidR="00B12F1E">
        <w:t>s</w:t>
      </w:r>
      <w:r w:rsidRPr="00092CDA">
        <w:t>ummary</w:t>
      </w:r>
      <w:bookmarkEnd w:id="1"/>
      <w:bookmarkEnd w:id="2"/>
      <w:bookmarkEnd w:id="3"/>
      <w:bookmarkEnd w:id="4"/>
    </w:p>
    <w:p w14:paraId="5428DCC9" w14:textId="656D2A68" w:rsidR="008D1854" w:rsidRDefault="008D1854" w:rsidP="008D1854">
      <w:r>
        <w:t xml:space="preserve">Food Standards Australia New Zealand </w:t>
      </w:r>
      <w:r w:rsidR="00F845A2">
        <w:t xml:space="preserve">(FSANZ) </w:t>
      </w:r>
      <w:r>
        <w:t>established the Horticulture Standards Development Advisory Group (SDAG) to assist in its work to consider the development of a primary production and processing standard for berries, leafy vegetables and melons.</w:t>
      </w:r>
    </w:p>
    <w:p w14:paraId="3EAAE05D" w14:textId="77777777" w:rsidR="008D1854" w:rsidRDefault="008D1854" w:rsidP="008D1854"/>
    <w:p w14:paraId="3C6E255B" w14:textId="77777777" w:rsidR="008D1854" w:rsidRDefault="008D1854" w:rsidP="008D1854">
      <w:r>
        <w:t>The role of the SDAG is to provide information and advice relating to Proposal P1052 Primary Production and Processing Requirements for Horticulture (Berries, Leafy Vegetables and Melons). Membership of the SDAG consists of industry and government stakeholders.</w:t>
      </w:r>
    </w:p>
    <w:p w14:paraId="689BD82B" w14:textId="77777777" w:rsidR="008D1854" w:rsidRDefault="008D1854" w:rsidP="008D1854"/>
    <w:p w14:paraId="3DC0C7BB" w14:textId="77777777" w:rsidR="008D1854" w:rsidRDefault="008D1854" w:rsidP="008D1854">
      <w:r>
        <w:t xml:space="preserve">The SDAG has </w:t>
      </w:r>
      <w:r w:rsidRPr="00D2168E">
        <w:t>met twice since</w:t>
      </w:r>
      <w:r>
        <w:t xml:space="preserve"> it was established. The first meeting focussed on the challenges and benefits of regulators and industry working together to better manage food safety risks for berries, leafy vegetables and melons. The second meeting focussed on the risk assessment, cost benefit analysis and the potential risk management options for the proposal. </w:t>
      </w:r>
    </w:p>
    <w:p w14:paraId="27BB302B" w14:textId="77777777" w:rsidR="008D1854" w:rsidRDefault="008D1854" w:rsidP="008D1854"/>
    <w:p w14:paraId="7C67FC34" w14:textId="5333B64A" w:rsidR="00092CDA" w:rsidRDefault="008D1854" w:rsidP="008D1854">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t>The SDAG will continue to be engaged throughout the remainder of the proposal assessment.</w:t>
      </w:r>
    </w:p>
    <w:p w14:paraId="19A1EB91" w14:textId="4BE2EAD3" w:rsidR="005465D8" w:rsidRDefault="00326D85">
      <w:pPr>
        <w:pStyle w:val="TOC1"/>
        <w:rPr>
          <w:rFonts w:eastAsiaTheme="minorEastAsia" w:cstheme="minorBidi"/>
          <w:b w:val="0"/>
          <w:bCs w:val="0"/>
          <w:caps w:val="0"/>
          <w:noProof/>
          <w:sz w:val="22"/>
          <w:szCs w:val="22"/>
          <w:lang w:eastAsia="en-GB" w:bidi="ar-SA"/>
        </w:rPr>
      </w:pPr>
      <w:r>
        <w:rPr>
          <w:sz w:val="36"/>
          <w:szCs w:val="28"/>
          <w:lang w:bidi="ar-SA"/>
        </w:rPr>
        <w:lastRenderedPageBreak/>
        <w:fldChar w:fldCharType="begin"/>
      </w:r>
      <w:r>
        <w:instrText xml:space="preserve"> TOC \o "1-3" \h \z \u </w:instrText>
      </w:r>
      <w:r>
        <w:rPr>
          <w:sz w:val="36"/>
          <w:szCs w:val="28"/>
          <w:lang w:bidi="ar-SA"/>
        </w:rPr>
        <w:fldChar w:fldCharType="separate"/>
      </w:r>
      <w:hyperlink w:anchor="_Toc87450530" w:history="1">
        <w:r w:rsidR="005465D8" w:rsidRPr="00402B4B">
          <w:rPr>
            <w:rStyle w:val="Hyperlink"/>
            <w:noProof/>
          </w:rPr>
          <w:t>Executive summary</w:t>
        </w:r>
        <w:r w:rsidR="005465D8">
          <w:rPr>
            <w:noProof/>
            <w:webHidden/>
          </w:rPr>
          <w:tab/>
        </w:r>
        <w:r w:rsidR="005465D8">
          <w:rPr>
            <w:noProof/>
            <w:webHidden/>
          </w:rPr>
          <w:fldChar w:fldCharType="begin"/>
        </w:r>
        <w:r w:rsidR="005465D8">
          <w:rPr>
            <w:noProof/>
            <w:webHidden/>
          </w:rPr>
          <w:instrText xml:space="preserve"> PAGEREF _Toc87450530 \h </w:instrText>
        </w:r>
        <w:r w:rsidR="005465D8">
          <w:rPr>
            <w:noProof/>
            <w:webHidden/>
          </w:rPr>
        </w:r>
        <w:r w:rsidR="005465D8">
          <w:rPr>
            <w:noProof/>
            <w:webHidden/>
          </w:rPr>
          <w:fldChar w:fldCharType="separate"/>
        </w:r>
        <w:r w:rsidR="005465D8">
          <w:rPr>
            <w:noProof/>
            <w:webHidden/>
          </w:rPr>
          <w:t>i</w:t>
        </w:r>
        <w:r w:rsidR="005465D8">
          <w:rPr>
            <w:noProof/>
            <w:webHidden/>
          </w:rPr>
          <w:fldChar w:fldCharType="end"/>
        </w:r>
      </w:hyperlink>
    </w:p>
    <w:p w14:paraId="73D6CE6C" w14:textId="5F2CF5D8" w:rsidR="005465D8" w:rsidRDefault="002E7426">
      <w:pPr>
        <w:pStyle w:val="TOC1"/>
        <w:rPr>
          <w:rFonts w:eastAsiaTheme="minorEastAsia" w:cstheme="minorBidi"/>
          <w:b w:val="0"/>
          <w:bCs w:val="0"/>
          <w:caps w:val="0"/>
          <w:noProof/>
          <w:sz w:val="22"/>
          <w:szCs w:val="22"/>
          <w:lang w:eastAsia="en-GB" w:bidi="ar-SA"/>
        </w:rPr>
      </w:pPr>
      <w:hyperlink w:anchor="_Toc87450531" w:history="1">
        <w:r w:rsidR="005465D8" w:rsidRPr="00402B4B">
          <w:rPr>
            <w:rStyle w:val="Hyperlink"/>
            <w:rFonts w:ascii="Arial Bold" w:eastAsiaTheme="majorEastAsia" w:hAnsi="Arial Bold" w:cstheme="majorBidi"/>
            <w:noProof/>
            <w:lang w:val="en-AU" w:eastAsia="en-GB"/>
          </w:rPr>
          <w:t>1.</w:t>
        </w:r>
        <w:r w:rsidR="005465D8">
          <w:rPr>
            <w:rFonts w:eastAsiaTheme="minorEastAsia" w:cstheme="minorBidi"/>
            <w:b w:val="0"/>
            <w:bCs w:val="0"/>
            <w:caps w:val="0"/>
            <w:noProof/>
            <w:sz w:val="22"/>
            <w:szCs w:val="22"/>
            <w:lang w:eastAsia="en-GB" w:bidi="ar-SA"/>
          </w:rPr>
          <w:tab/>
        </w:r>
        <w:r w:rsidR="005465D8" w:rsidRPr="00402B4B">
          <w:rPr>
            <w:rStyle w:val="Hyperlink"/>
            <w:rFonts w:ascii="Arial Bold" w:eastAsiaTheme="majorEastAsia" w:hAnsi="Arial Bold" w:cstheme="majorBidi"/>
            <w:noProof/>
            <w:lang w:val="en-AU" w:eastAsia="en-GB"/>
          </w:rPr>
          <w:t>Horticulture Standards Development Advisory Group</w:t>
        </w:r>
        <w:r w:rsidR="005465D8">
          <w:rPr>
            <w:noProof/>
            <w:webHidden/>
          </w:rPr>
          <w:tab/>
        </w:r>
        <w:r w:rsidR="005465D8">
          <w:rPr>
            <w:noProof/>
            <w:webHidden/>
          </w:rPr>
          <w:fldChar w:fldCharType="begin"/>
        </w:r>
        <w:r w:rsidR="005465D8">
          <w:rPr>
            <w:noProof/>
            <w:webHidden/>
          </w:rPr>
          <w:instrText xml:space="preserve"> PAGEREF _Toc87450531 \h </w:instrText>
        </w:r>
        <w:r w:rsidR="005465D8">
          <w:rPr>
            <w:noProof/>
            <w:webHidden/>
          </w:rPr>
        </w:r>
        <w:r w:rsidR="005465D8">
          <w:rPr>
            <w:noProof/>
            <w:webHidden/>
          </w:rPr>
          <w:fldChar w:fldCharType="separate"/>
        </w:r>
        <w:r w:rsidR="005465D8">
          <w:rPr>
            <w:noProof/>
            <w:webHidden/>
          </w:rPr>
          <w:t>2</w:t>
        </w:r>
        <w:r w:rsidR="005465D8">
          <w:rPr>
            <w:noProof/>
            <w:webHidden/>
          </w:rPr>
          <w:fldChar w:fldCharType="end"/>
        </w:r>
      </w:hyperlink>
    </w:p>
    <w:p w14:paraId="12BA00A5" w14:textId="3781CD53" w:rsidR="005465D8" w:rsidRDefault="002E7426">
      <w:pPr>
        <w:pStyle w:val="TOC2"/>
        <w:tabs>
          <w:tab w:val="left" w:pos="880"/>
          <w:tab w:val="right" w:leader="dot" w:pos="9060"/>
        </w:tabs>
        <w:rPr>
          <w:rFonts w:eastAsiaTheme="minorEastAsia" w:cstheme="minorBidi"/>
          <w:smallCaps w:val="0"/>
          <w:noProof/>
          <w:sz w:val="22"/>
          <w:szCs w:val="22"/>
          <w:lang w:eastAsia="en-GB" w:bidi="ar-SA"/>
        </w:rPr>
      </w:pPr>
      <w:hyperlink w:anchor="_Toc87450532" w:history="1">
        <w:r w:rsidR="005465D8" w:rsidRPr="00402B4B">
          <w:rPr>
            <w:rStyle w:val="Hyperlink"/>
            <w:rFonts w:ascii="Arial Bold" w:eastAsia="Calibri" w:hAnsi="Arial Bold"/>
            <w:noProof/>
            <w:lang w:val="en-AU" w:eastAsia="en-GB"/>
          </w:rPr>
          <w:t>1.1</w:t>
        </w:r>
        <w:r w:rsidR="005465D8">
          <w:rPr>
            <w:rFonts w:eastAsiaTheme="minorEastAsia" w:cstheme="minorBidi"/>
            <w:smallCaps w:val="0"/>
            <w:noProof/>
            <w:sz w:val="22"/>
            <w:szCs w:val="22"/>
            <w:lang w:eastAsia="en-GB" w:bidi="ar-SA"/>
          </w:rPr>
          <w:tab/>
        </w:r>
        <w:r w:rsidR="005465D8" w:rsidRPr="00402B4B">
          <w:rPr>
            <w:rStyle w:val="Hyperlink"/>
            <w:rFonts w:ascii="Arial Bold" w:eastAsia="Calibri" w:hAnsi="Arial Bold"/>
            <w:noProof/>
            <w:lang w:val="en-AU" w:eastAsia="en-GB"/>
          </w:rPr>
          <w:t>Horticulture Standards Development Advisory Group Meeting Members</w:t>
        </w:r>
        <w:r w:rsidR="005465D8">
          <w:rPr>
            <w:noProof/>
            <w:webHidden/>
          </w:rPr>
          <w:tab/>
        </w:r>
        <w:r w:rsidR="005465D8">
          <w:rPr>
            <w:noProof/>
            <w:webHidden/>
          </w:rPr>
          <w:fldChar w:fldCharType="begin"/>
        </w:r>
        <w:r w:rsidR="005465D8">
          <w:rPr>
            <w:noProof/>
            <w:webHidden/>
          </w:rPr>
          <w:instrText xml:space="preserve"> PAGEREF _Toc87450532 \h </w:instrText>
        </w:r>
        <w:r w:rsidR="005465D8">
          <w:rPr>
            <w:noProof/>
            <w:webHidden/>
          </w:rPr>
        </w:r>
        <w:r w:rsidR="005465D8">
          <w:rPr>
            <w:noProof/>
            <w:webHidden/>
          </w:rPr>
          <w:fldChar w:fldCharType="separate"/>
        </w:r>
        <w:r w:rsidR="005465D8">
          <w:rPr>
            <w:noProof/>
            <w:webHidden/>
          </w:rPr>
          <w:t>2</w:t>
        </w:r>
        <w:r w:rsidR="005465D8">
          <w:rPr>
            <w:noProof/>
            <w:webHidden/>
          </w:rPr>
          <w:fldChar w:fldCharType="end"/>
        </w:r>
      </w:hyperlink>
    </w:p>
    <w:p w14:paraId="04B773B7" w14:textId="55DE33B0" w:rsidR="005465D8" w:rsidRDefault="002E7426">
      <w:pPr>
        <w:pStyle w:val="TOC2"/>
        <w:tabs>
          <w:tab w:val="left" w:pos="880"/>
          <w:tab w:val="right" w:leader="dot" w:pos="9060"/>
        </w:tabs>
        <w:rPr>
          <w:rFonts w:eastAsiaTheme="minorEastAsia" w:cstheme="minorBidi"/>
          <w:smallCaps w:val="0"/>
          <w:noProof/>
          <w:sz w:val="22"/>
          <w:szCs w:val="22"/>
          <w:lang w:eastAsia="en-GB" w:bidi="ar-SA"/>
        </w:rPr>
      </w:pPr>
      <w:hyperlink w:anchor="_Toc87450533" w:history="1">
        <w:r w:rsidR="005465D8" w:rsidRPr="00402B4B">
          <w:rPr>
            <w:rStyle w:val="Hyperlink"/>
            <w:rFonts w:ascii="Arial Bold" w:eastAsia="Calibri" w:hAnsi="Arial Bold"/>
            <w:noProof/>
            <w:lang w:val="en-AU" w:eastAsia="en-GB"/>
          </w:rPr>
          <w:t>1.2</w:t>
        </w:r>
        <w:r w:rsidR="005465D8">
          <w:rPr>
            <w:rFonts w:eastAsiaTheme="minorEastAsia" w:cstheme="minorBidi"/>
            <w:smallCaps w:val="0"/>
            <w:noProof/>
            <w:sz w:val="22"/>
            <w:szCs w:val="22"/>
            <w:lang w:eastAsia="en-GB" w:bidi="ar-SA"/>
          </w:rPr>
          <w:tab/>
        </w:r>
        <w:r w:rsidR="005465D8" w:rsidRPr="00402B4B">
          <w:rPr>
            <w:rStyle w:val="Hyperlink"/>
            <w:rFonts w:ascii="Arial Bold" w:eastAsia="Calibri" w:hAnsi="Arial Bold"/>
            <w:noProof/>
            <w:lang w:val="en-AU" w:eastAsia="en-GB"/>
          </w:rPr>
          <w:t>Horticulture Standards Development Advisory Group Terms of Reference</w:t>
        </w:r>
        <w:r w:rsidR="005465D8">
          <w:rPr>
            <w:noProof/>
            <w:webHidden/>
          </w:rPr>
          <w:tab/>
        </w:r>
        <w:r w:rsidR="005465D8">
          <w:rPr>
            <w:noProof/>
            <w:webHidden/>
          </w:rPr>
          <w:fldChar w:fldCharType="begin"/>
        </w:r>
        <w:r w:rsidR="005465D8">
          <w:rPr>
            <w:noProof/>
            <w:webHidden/>
          </w:rPr>
          <w:instrText xml:space="preserve"> PAGEREF _Toc87450533 \h </w:instrText>
        </w:r>
        <w:r w:rsidR="005465D8">
          <w:rPr>
            <w:noProof/>
            <w:webHidden/>
          </w:rPr>
        </w:r>
        <w:r w:rsidR="005465D8">
          <w:rPr>
            <w:noProof/>
            <w:webHidden/>
          </w:rPr>
          <w:fldChar w:fldCharType="separate"/>
        </w:r>
        <w:r w:rsidR="005465D8">
          <w:rPr>
            <w:noProof/>
            <w:webHidden/>
          </w:rPr>
          <w:t>3</w:t>
        </w:r>
        <w:r w:rsidR="005465D8">
          <w:rPr>
            <w:noProof/>
            <w:webHidden/>
          </w:rPr>
          <w:fldChar w:fldCharType="end"/>
        </w:r>
      </w:hyperlink>
    </w:p>
    <w:p w14:paraId="0CDEE8AF" w14:textId="48594942" w:rsidR="005465D8" w:rsidRDefault="002E7426">
      <w:pPr>
        <w:pStyle w:val="TOC3"/>
        <w:tabs>
          <w:tab w:val="right" w:leader="dot" w:pos="9060"/>
        </w:tabs>
        <w:rPr>
          <w:rFonts w:eastAsiaTheme="minorEastAsia" w:cstheme="minorBidi"/>
          <w:i w:val="0"/>
          <w:iCs w:val="0"/>
          <w:noProof/>
          <w:sz w:val="22"/>
          <w:szCs w:val="22"/>
          <w:lang w:eastAsia="en-GB" w:bidi="ar-SA"/>
        </w:rPr>
      </w:pPr>
      <w:hyperlink w:anchor="_Toc87450534" w:history="1">
        <w:r w:rsidR="005465D8" w:rsidRPr="00402B4B">
          <w:rPr>
            <w:rStyle w:val="Hyperlink"/>
            <w:noProof/>
          </w:rPr>
          <w:t>Role</w:t>
        </w:r>
        <w:r w:rsidR="005465D8">
          <w:rPr>
            <w:noProof/>
            <w:webHidden/>
          </w:rPr>
          <w:tab/>
        </w:r>
        <w:r w:rsidR="005465D8">
          <w:rPr>
            <w:noProof/>
            <w:webHidden/>
          </w:rPr>
          <w:fldChar w:fldCharType="begin"/>
        </w:r>
        <w:r w:rsidR="005465D8">
          <w:rPr>
            <w:noProof/>
            <w:webHidden/>
          </w:rPr>
          <w:instrText xml:space="preserve"> PAGEREF _Toc87450534 \h </w:instrText>
        </w:r>
        <w:r w:rsidR="005465D8">
          <w:rPr>
            <w:noProof/>
            <w:webHidden/>
          </w:rPr>
        </w:r>
        <w:r w:rsidR="005465D8">
          <w:rPr>
            <w:noProof/>
            <w:webHidden/>
          </w:rPr>
          <w:fldChar w:fldCharType="separate"/>
        </w:r>
        <w:r w:rsidR="005465D8">
          <w:rPr>
            <w:noProof/>
            <w:webHidden/>
          </w:rPr>
          <w:t>4</w:t>
        </w:r>
        <w:r w:rsidR="005465D8">
          <w:rPr>
            <w:noProof/>
            <w:webHidden/>
          </w:rPr>
          <w:fldChar w:fldCharType="end"/>
        </w:r>
      </w:hyperlink>
    </w:p>
    <w:p w14:paraId="5E9133B3" w14:textId="7CDD569C" w:rsidR="005465D8" w:rsidRDefault="002E7426">
      <w:pPr>
        <w:pStyle w:val="TOC3"/>
        <w:tabs>
          <w:tab w:val="right" w:leader="dot" w:pos="9060"/>
        </w:tabs>
        <w:rPr>
          <w:rFonts w:eastAsiaTheme="minorEastAsia" w:cstheme="minorBidi"/>
          <w:i w:val="0"/>
          <w:iCs w:val="0"/>
          <w:noProof/>
          <w:sz w:val="22"/>
          <w:szCs w:val="22"/>
          <w:lang w:eastAsia="en-GB" w:bidi="ar-SA"/>
        </w:rPr>
      </w:pPr>
      <w:hyperlink w:anchor="_Toc87450535" w:history="1">
        <w:r w:rsidR="005465D8" w:rsidRPr="00402B4B">
          <w:rPr>
            <w:rStyle w:val="Hyperlink"/>
            <w:noProof/>
          </w:rPr>
          <w:t>Boundaries</w:t>
        </w:r>
        <w:r w:rsidR="005465D8">
          <w:rPr>
            <w:noProof/>
            <w:webHidden/>
          </w:rPr>
          <w:tab/>
        </w:r>
        <w:r w:rsidR="005465D8">
          <w:rPr>
            <w:noProof/>
            <w:webHidden/>
          </w:rPr>
          <w:fldChar w:fldCharType="begin"/>
        </w:r>
        <w:r w:rsidR="005465D8">
          <w:rPr>
            <w:noProof/>
            <w:webHidden/>
          </w:rPr>
          <w:instrText xml:space="preserve"> PAGEREF _Toc87450535 \h </w:instrText>
        </w:r>
        <w:r w:rsidR="005465D8">
          <w:rPr>
            <w:noProof/>
            <w:webHidden/>
          </w:rPr>
        </w:r>
        <w:r w:rsidR="005465D8">
          <w:rPr>
            <w:noProof/>
            <w:webHidden/>
          </w:rPr>
          <w:fldChar w:fldCharType="separate"/>
        </w:r>
        <w:r w:rsidR="005465D8">
          <w:rPr>
            <w:noProof/>
            <w:webHidden/>
          </w:rPr>
          <w:t>4</w:t>
        </w:r>
        <w:r w:rsidR="005465D8">
          <w:rPr>
            <w:noProof/>
            <w:webHidden/>
          </w:rPr>
          <w:fldChar w:fldCharType="end"/>
        </w:r>
      </w:hyperlink>
    </w:p>
    <w:p w14:paraId="5EF671AD" w14:textId="323440AD" w:rsidR="00562917" w:rsidRDefault="00326D85" w:rsidP="00051ED9">
      <w:r>
        <w:fldChar w:fldCharType="end"/>
      </w:r>
    </w:p>
    <w:p w14:paraId="2F73DCFB" w14:textId="77777777" w:rsidR="00E066BA" w:rsidRDefault="00E066BA" w:rsidP="00051ED9"/>
    <w:p w14:paraId="0AF14894" w14:textId="72B2F104" w:rsidR="00051ED9" w:rsidRDefault="00562917" w:rsidP="00772BDC">
      <w:r w:rsidRPr="00E203C2">
        <w:br w:type="page"/>
      </w:r>
    </w:p>
    <w:p w14:paraId="6579FC80" w14:textId="77777777" w:rsidR="00662C16" w:rsidRPr="00A858EB" w:rsidRDefault="00662C16" w:rsidP="00662C16">
      <w:pPr>
        <w:pStyle w:val="Heading1"/>
        <w:widowControl/>
        <w:numPr>
          <w:ilvl w:val="0"/>
          <w:numId w:val="4"/>
        </w:numPr>
        <w:spacing w:before="0" w:after="0"/>
        <w:ind w:left="0" w:firstLine="0"/>
        <w:rPr>
          <w:rFonts w:ascii="Arial Bold" w:eastAsiaTheme="majorEastAsia" w:hAnsi="Arial Bold" w:cstheme="majorBidi"/>
          <w:b w:val="0"/>
          <w:lang w:val="en-AU" w:eastAsia="en-GB"/>
        </w:rPr>
      </w:pPr>
      <w:r w:rsidRPr="0067329F">
        <w:rPr>
          <w:rFonts w:ascii="Arial Bold" w:eastAsiaTheme="majorEastAsia" w:hAnsi="Arial Bold" w:cstheme="majorBidi"/>
          <w:b w:val="0"/>
          <w:lang w:val="en-AU" w:eastAsia="en-GB"/>
        </w:rPr>
        <w:lastRenderedPageBreak/>
        <w:t xml:space="preserve"> </w:t>
      </w:r>
      <w:bookmarkStart w:id="5" w:name="_Toc87450531"/>
      <w:r>
        <w:rPr>
          <w:rFonts w:ascii="Arial Bold" w:eastAsiaTheme="majorEastAsia" w:hAnsi="Arial Bold" w:cstheme="majorBidi"/>
          <w:b w:val="0"/>
          <w:lang w:val="en-AU" w:eastAsia="en-GB"/>
        </w:rPr>
        <w:t>Horticulture Standards Development Advisory Group</w:t>
      </w:r>
      <w:bookmarkEnd w:id="5"/>
      <w:r w:rsidRPr="00A858EB">
        <w:rPr>
          <w:rFonts w:ascii="Arial Bold" w:eastAsiaTheme="majorEastAsia" w:hAnsi="Arial Bold" w:cstheme="majorBidi"/>
          <w:b w:val="0"/>
          <w:lang w:val="en-AU" w:eastAsia="en-GB"/>
        </w:rPr>
        <w:t xml:space="preserve"> </w:t>
      </w:r>
    </w:p>
    <w:p w14:paraId="13D8B72F" w14:textId="77777777" w:rsidR="00662C16" w:rsidRDefault="00662C16" w:rsidP="00662C16"/>
    <w:p w14:paraId="7BF84323" w14:textId="77777777" w:rsidR="00662C16" w:rsidRDefault="00662C16" w:rsidP="00662C16">
      <w:pPr>
        <w:pStyle w:val="Heading2"/>
        <w:keepLines/>
        <w:widowControl/>
        <w:numPr>
          <w:ilvl w:val="1"/>
          <w:numId w:val="5"/>
        </w:numPr>
        <w:spacing w:after="0"/>
        <w:rPr>
          <w:rFonts w:ascii="Arial Bold" w:eastAsia="Calibri" w:hAnsi="Arial Bold" w:cs="Times New Roman"/>
          <w:bCs w:val="0"/>
          <w:szCs w:val="28"/>
          <w:lang w:val="en-AU" w:eastAsia="en-GB"/>
        </w:rPr>
      </w:pPr>
      <w:bookmarkStart w:id="6" w:name="_Toc87450532"/>
      <w:r>
        <w:rPr>
          <w:rFonts w:ascii="Arial Bold" w:eastAsia="Calibri" w:hAnsi="Arial Bold" w:cs="Times New Roman"/>
          <w:bCs w:val="0"/>
          <w:szCs w:val="28"/>
          <w:lang w:val="en-AU" w:eastAsia="en-GB"/>
        </w:rPr>
        <w:t>Horticulture Standards Development Advisory Group Meeting Members</w:t>
      </w:r>
      <w:bookmarkEnd w:id="6"/>
    </w:p>
    <w:p w14:paraId="7E349756" w14:textId="77777777" w:rsidR="00662C16" w:rsidRDefault="00662C16" w:rsidP="00662C16"/>
    <w:p w14:paraId="429EC7BC" w14:textId="2245F958" w:rsidR="00662C16" w:rsidRDefault="007174D0" w:rsidP="00662C16">
      <w:r>
        <w:t>The Horticulture Standards Development Advisory Group (SDAG) consists of representatives from the following organisations.</w:t>
      </w:r>
    </w:p>
    <w:p w14:paraId="72601916" w14:textId="77777777" w:rsidR="007174D0" w:rsidRDefault="007174D0" w:rsidP="00662C16"/>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072"/>
      </w:tblGrid>
      <w:tr w:rsidR="00662C16" w:rsidRPr="007C16F0" w14:paraId="123E68B3" w14:textId="77777777" w:rsidTr="00DB79EC">
        <w:trPr>
          <w:trHeight w:val="227"/>
        </w:trPr>
        <w:tc>
          <w:tcPr>
            <w:tcW w:w="9072" w:type="dxa"/>
            <w:tcBorders>
              <w:top w:val="single" w:sz="12" w:space="0" w:color="auto"/>
              <w:bottom w:val="single" w:sz="12" w:space="0" w:color="auto"/>
            </w:tcBorders>
            <w:shd w:val="clear" w:color="auto" w:fill="D9D9D9"/>
            <w:vAlign w:val="center"/>
          </w:tcPr>
          <w:p w14:paraId="60615D1F" w14:textId="77777777" w:rsidR="00662C16" w:rsidRPr="007C16F0" w:rsidRDefault="00662C16" w:rsidP="00DB79EC">
            <w:pPr>
              <w:spacing w:before="120" w:after="120"/>
              <w:rPr>
                <w:rFonts w:cs="Arial"/>
                <w:b/>
                <w:i/>
              </w:rPr>
            </w:pPr>
            <w:r>
              <w:rPr>
                <w:rFonts w:cs="Arial"/>
                <w:b/>
                <w:i/>
              </w:rPr>
              <w:t>Horticulture Standards Development Advisory Group Members</w:t>
            </w:r>
          </w:p>
        </w:tc>
      </w:tr>
      <w:tr w:rsidR="00662C16" w:rsidRPr="007C16F0" w14:paraId="530249BA" w14:textId="77777777" w:rsidTr="00DB79EC">
        <w:trPr>
          <w:trHeight w:val="227"/>
        </w:trPr>
        <w:tc>
          <w:tcPr>
            <w:tcW w:w="9072" w:type="dxa"/>
            <w:tcBorders>
              <w:top w:val="single" w:sz="12" w:space="0" w:color="auto"/>
              <w:bottom w:val="single" w:sz="12" w:space="0" w:color="auto"/>
            </w:tcBorders>
            <w:shd w:val="clear" w:color="auto" w:fill="EAEAEA"/>
            <w:vAlign w:val="center"/>
          </w:tcPr>
          <w:p w14:paraId="7F4346DB" w14:textId="77777777" w:rsidR="00662C16" w:rsidRPr="007C16F0" w:rsidRDefault="00662C16" w:rsidP="00DB79EC">
            <w:pPr>
              <w:rPr>
                <w:rFonts w:cs="Arial"/>
                <w:sz w:val="20"/>
                <w:szCs w:val="20"/>
              </w:rPr>
            </w:pPr>
            <w:r w:rsidRPr="007C16F0">
              <w:rPr>
                <w:rFonts w:cs="Arial"/>
                <w:b/>
                <w:bCs/>
                <w:sz w:val="20"/>
                <w:szCs w:val="20"/>
              </w:rPr>
              <w:t>GOVERNMENT</w:t>
            </w:r>
          </w:p>
        </w:tc>
      </w:tr>
      <w:tr w:rsidR="00662C16" w:rsidRPr="00DA4672" w14:paraId="57BD9770" w14:textId="77777777" w:rsidTr="00DB79EC">
        <w:trPr>
          <w:trHeight w:val="227"/>
        </w:trPr>
        <w:tc>
          <w:tcPr>
            <w:tcW w:w="9072" w:type="dxa"/>
            <w:tcBorders>
              <w:top w:val="single" w:sz="12" w:space="0" w:color="auto"/>
              <w:bottom w:val="single" w:sz="4" w:space="0" w:color="auto"/>
            </w:tcBorders>
          </w:tcPr>
          <w:p w14:paraId="19D33C50" w14:textId="77777777" w:rsidR="00662C16" w:rsidRPr="00DA4672" w:rsidRDefault="00662C16" w:rsidP="00DB79EC">
            <w:pPr>
              <w:spacing w:before="120" w:after="120"/>
              <w:rPr>
                <w:rFonts w:cs="Arial"/>
                <w:sz w:val="20"/>
                <w:szCs w:val="20"/>
              </w:rPr>
            </w:pPr>
            <w:r>
              <w:rPr>
                <w:rFonts w:cs="Arial"/>
                <w:sz w:val="20"/>
                <w:szCs w:val="20"/>
              </w:rPr>
              <w:t>Food Standards Australia New Zealand (Chair)</w:t>
            </w:r>
          </w:p>
        </w:tc>
      </w:tr>
      <w:tr w:rsidR="00662C16" w:rsidRPr="00DA4672" w14:paraId="6041B5F9" w14:textId="77777777" w:rsidTr="00DB79EC">
        <w:trPr>
          <w:trHeight w:val="227"/>
        </w:trPr>
        <w:tc>
          <w:tcPr>
            <w:tcW w:w="9072" w:type="dxa"/>
            <w:tcBorders>
              <w:top w:val="single" w:sz="4" w:space="0" w:color="auto"/>
              <w:bottom w:val="single" w:sz="4" w:space="0" w:color="auto"/>
            </w:tcBorders>
          </w:tcPr>
          <w:p w14:paraId="1F677D61" w14:textId="77777777" w:rsidR="00662C16" w:rsidRPr="00DA4672" w:rsidRDefault="00662C16" w:rsidP="00DB79EC">
            <w:pPr>
              <w:spacing w:before="120" w:after="120"/>
              <w:rPr>
                <w:rFonts w:cs="Arial"/>
                <w:sz w:val="20"/>
                <w:szCs w:val="20"/>
              </w:rPr>
            </w:pPr>
            <w:r w:rsidRPr="00EF66B0">
              <w:rPr>
                <w:rFonts w:cs="Arial"/>
                <w:sz w:val="20"/>
                <w:szCs w:val="20"/>
              </w:rPr>
              <w:t>Department of Agriculture, Water and the Environment</w:t>
            </w:r>
          </w:p>
        </w:tc>
      </w:tr>
      <w:tr w:rsidR="00662C16" w:rsidRPr="00DA4672" w14:paraId="10F086D6" w14:textId="77777777" w:rsidTr="00DB79EC">
        <w:trPr>
          <w:trHeight w:val="227"/>
        </w:trPr>
        <w:tc>
          <w:tcPr>
            <w:tcW w:w="9072" w:type="dxa"/>
            <w:tcBorders>
              <w:top w:val="single" w:sz="4" w:space="0" w:color="auto"/>
              <w:bottom w:val="single" w:sz="4" w:space="0" w:color="auto"/>
            </w:tcBorders>
          </w:tcPr>
          <w:p w14:paraId="53EEF316" w14:textId="77777777" w:rsidR="00662C16" w:rsidRPr="00EF66B0" w:rsidRDefault="00662C16" w:rsidP="00DB79EC">
            <w:pPr>
              <w:spacing w:before="120" w:after="120"/>
              <w:rPr>
                <w:rFonts w:cs="Arial"/>
                <w:sz w:val="20"/>
                <w:szCs w:val="20"/>
              </w:rPr>
            </w:pPr>
            <w:r w:rsidRPr="00EF66B0">
              <w:rPr>
                <w:rFonts w:cs="Arial"/>
                <w:sz w:val="20"/>
                <w:szCs w:val="20"/>
              </w:rPr>
              <w:t>Safe Food Production QLD</w:t>
            </w:r>
          </w:p>
        </w:tc>
      </w:tr>
      <w:tr w:rsidR="00662C16" w:rsidRPr="00DA4672" w14:paraId="784FC92B" w14:textId="77777777" w:rsidTr="00DB79EC">
        <w:trPr>
          <w:trHeight w:val="227"/>
        </w:trPr>
        <w:tc>
          <w:tcPr>
            <w:tcW w:w="9072" w:type="dxa"/>
            <w:tcBorders>
              <w:top w:val="single" w:sz="4" w:space="0" w:color="auto"/>
              <w:bottom w:val="single" w:sz="4" w:space="0" w:color="auto"/>
            </w:tcBorders>
          </w:tcPr>
          <w:p w14:paraId="76716C2C" w14:textId="77777777" w:rsidR="00662C16" w:rsidRPr="00EF66B0" w:rsidRDefault="00662C16" w:rsidP="00DB79EC">
            <w:pPr>
              <w:spacing w:before="120" w:after="120"/>
              <w:rPr>
                <w:rFonts w:cs="Arial"/>
                <w:sz w:val="20"/>
                <w:szCs w:val="20"/>
              </w:rPr>
            </w:pPr>
            <w:r w:rsidRPr="00EF66B0">
              <w:rPr>
                <w:rFonts w:cs="Arial"/>
                <w:sz w:val="20"/>
                <w:szCs w:val="20"/>
              </w:rPr>
              <w:t>TAS Department of Primary Industries, Parks, Water and Environment</w:t>
            </w:r>
          </w:p>
        </w:tc>
      </w:tr>
      <w:tr w:rsidR="00662C16" w:rsidRPr="00DA4672" w14:paraId="298AC8B6" w14:textId="77777777" w:rsidTr="00DB79EC">
        <w:trPr>
          <w:trHeight w:val="227"/>
        </w:trPr>
        <w:tc>
          <w:tcPr>
            <w:tcW w:w="9072" w:type="dxa"/>
            <w:tcBorders>
              <w:top w:val="single" w:sz="4" w:space="0" w:color="auto"/>
              <w:bottom w:val="single" w:sz="4" w:space="0" w:color="auto"/>
            </w:tcBorders>
          </w:tcPr>
          <w:p w14:paraId="27E57A1F" w14:textId="77777777" w:rsidR="00662C16" w:rsidRPr="00EF66B0" w:rsidRDefault="00662C16" w:rsidP="00DB79EC">
            <w:pPr>
              <w:spacing w:before="120" w:after="120"/>
              <w:rPr>
                <w:rFonts w:cs="Arial"/>
                <w:sz w:val="20"/>
                <w:szCs w:val="20"/>
              </w:rPr>
            </w:pPr>
            <w:r w:rsidRPr="00EF66B0">
              <w:rPr>
                <w:rFonts w:cs="Arial"/>
                <w:sz w:val="20"/>
                <w:szCs w:val="20"/>
              </w:rPr>
              <w:t>SA Health</w:t>
            </w:r>
          </w:p>
        </w:tc>
      </w:tr>
      <w:tr w:rsidR="00662C16" w:rsidRPr="00DA4672" w14:paraId="35CA9889" w14:textId="77777777" w:rsidTr="00DB79EC">
        <w:trPr>
          <w:trHeight w:val="227"/>
        </w:trPr>
        <w:tc>
          <w:tcPr>
            <w:tcW w:w="9072" w:type="dxa"/>
            <w:tcBorders>
              <w:top w:val="single" w:sz="4" w:space="0" w:color="auto"/>
              <w:bottom w:val="single" w:sz="4" w:space="0" w:color="auto"/>
            </w:tcBorders>
          </w:tcPr>
          <w:p w14:paraId="4C42B29A" w14:textId="77777777" w:rsidR="00662C16" w:rsidRPr="00EF66B0" w:rsidRDefault="00662C16" w:rsidP="00DB79EC">
            <w:pPr>
              <w:spacing w:before="120" w:after="120"/>
              <w:rPr>
                <w:rFonts w:cs="Arial"/>
                <w:sz w:val="20"/>
                <w:szCs w:val="20"/>
              </w:rPr>
            </w:pPr>
            <w:r w:rsidRPr="00EF66B0">
              <w:rPr>
                <w:rFonts w:cs="Arial"/>
                <w:sz w:val="20"/>
                <w:szCs w:val="20"/>
              </w:rPr>
              <w:t>Primary Industries and Regions SA</w:t>
            </w:r>
          </w:p>
        </w:tc>
      </w:tr>
      <w:tr w:rsidR="00662C16" w:rsidRPr="00DA4672" w14:paraId="1EAC4199" w14:textId="77777777" w:rsidTr="00DB79EC">
        <w:trPr>
          <w:trHeight w:val="227"/>
        </w:trPr>
        <w:tc>
          <w:tcPr>
            <w:tcW w:w="9072" w:type="dxa"/>
            <w:tcBorders>
              <w:top w:val="single" w:sz="4" w:space="0" w:color="auto"/>
              <w:bottom w:val="single" w:sz="4" w:space="0" w:color="auto"/>
            </w:tcBorders>
          </w:tcPr>
          <w:p w14:paraId="384A8A66" w14:textId="77777777" w:rsidR="00662C16" w:rsidRPr="00EF66B0" w:rsidRDefault="00662C16" w:rsidP="00DB79EC">
            <w:pPr>
              <w:spacing w:before="120" w:after="120"/>
              <w:rPr>
                <w:rFonts w:cs="Arial"/>
                <w:sz w:val="20"/>
                <w:szCs w:val="20"/>
              </w:rPr>
            </w:pPr>
            <w:r w:rsidRPr="00EF66B0">
              <w:rPr>
                <w:rFonts w:cs="Arial"/>
                <w:sz w:val="20"/>
                <w:szCs w:val="20"/>
              </w:rPr>
              <w:t>NSW Department of Primary Industries</w:t>
            </w:r>
          </w:p>
        </w:tc>
      </w:tr>
      <w:tr w:rsidR="00662C16" w:rsidRPr="00DA4672" w14:paraId="05B4827D" w14:textId="77777777" w:rsidTr="00DB79EC">
        <w:trPr>
          <w:trHeight w:val="227"/>
        </w:trPr>
        <w:tc>
          <w:tcPr>
            <w:tcW w:w="9072" w:type="dxa"/>
            <w:tcBorders>
              <w:top w:val="single" w:sz="4" w:space="0" w:color="auto"/>
              <w:bottom w:val="single" w:sz="4" w:space="0" w:color="auto"/>
            </w:tcBorders>
          </w:tcPr>
          <w:p w14:paraId="515D5C8E" w14:textId="77777777" w:rsidR="00662C16" w:rsidRPr="00EF66B0" w:rsidRDefault="00662C16" w:rsidP="00DB79EC">
            <w:pPr>
              <w:spacing w:before="120" w:after="120"/>
              <w:rPr>
                <w:rFonts w:cs="Arial"/>
                <w:sz w:val="20"/>
                <w:szCs w:val="20"/>
              </w:rPr>
            </w:pPr>
            <w:r w:rsidRPr="00EF66B0">
              <w:rPr>
                <w:rFonts w:cs="Arial"/>
                <w:sz w:val="20"/>
                <w:szCs w:val="20"/>
              </w:rPr>
              <w:t>VIC Department of Economic Development, Jobs, Transport and Resources</w:t>
            </w:r>
          </w:p>
        </w:tc>
      </w:tr>
      <w:tr w:rsidR="00662C16" w:rsidRPr="00DA4672" w14:paraId="5E2BAC6B" w14:textId="77777777" w:rsidTr="00DB79EC">
        <w:trPr>
          <w:trHeight w:val="227"/>
        </w:trPr>
        <w:tc>
          <w:tcPr>
            <w:tcW w:w="9072" w:type="dxa"/>
            <w:tcBorders>
              <w:top w:val="single" w:sz="4" w:space="0" w:color="auto"/>
              <w:bottom w:val="single" w:sz="4" w:space="0" w:color="auto"/>
            </w:tcBorders>
          </w:tcPr>
          <w:p w14:paraId="78FEB326" w14:textId="77777777" w:rsidR="00662C16" w:rsidRPr="00EF66B0" w:rsidRDefault="00662C16" w:rsidP="00DB79EC">
            <w:pPr>
              <w:spacing w:before="120" w:after="120"/>
              <w:rPr>
                <w:rFonts w:cs="Arial"/>
                <w:sz w:val="20"/>
                <w:szCs w:val="20"/>
              </w:rPr>
            </w:pPr>
            <w:r w:rsidRPr="00EF66B0">
              <w:rPr>
                <w:rFonts w:cs="Arial"/>
                <w:sz w:val="20"/>
                <w:szCs w:val="20"/>
              </w:rPr>
              <w:t>VIC Department of Human Services</w:t>
            </w:r>
          </w:p>
        </w:tc>
      </w:tr>
      <w:tr w:rsidR="00662C16" w:rsidRPr="00DA4672" w14:paraId="420AABAF" w14:textId="77777777" w:rsidTr="00DB79EC">
        <w:trPr>
          <w:trHeight w:val="227"/>
        </w:trPr>
        <w:tc>
          <w:tcPr>
            <w:tcW w:w="9072" w:type="dxa"/>
            <w:tcBorders>
              <w:top w:val="single" w:sz="4" w:space="0" w:color="auto"/>
              <w:bottom w:val="single" w:sz="4" w:space="0" w:color="auto"/>
            </w:tcBorders>
          </w:tcPr>
          <w:p w14:paraId="4C826933" w14:textId="77777777" w:rsidR="00662C16" w:rsidRPr="00EF66B0" w:rsidRDefault="00662C16" w:rsidP="00DB79EC">
            <w:pPr>
              <w:spacing w:before="120" w:after="120"/>
              <w:rPr>
                <w:rFonts w:cs="Arial"/>
                <w:sz w:val="20"/>
                <w:szCs w:val="20"/>
              </w:rPr>
            </w:pPr>
            <w:r w:rsidRPr="00EF66B0">
              <w:rPr>
                <w:rFonts w:cs="Arial"/>
                <w:sz w:val="20"/>
                <w:szCs w:val="20"/>
              </w:rPr>
              <w:t>WA Health</w:t>
            </w:r>
          </w:p>
        </w:tc>
      </w:tr>
      <w:tr w:rsidR="00662C16" w:rsidRPr="00DA4672" w14:paraId="1475218C" w14:textId="77777777" w:rsidTr="00DB79EC">
        <w:trPr>
          <w:trHeight w:val="227"/>
        </w:trPr>
        <w:tc>
          <w:tcPr>
            <w:tcW w:w="9072" w:type="dxa"/>
            <w:tcBorders>
              <w:top w:val="single" w:sz="4" w:space="0" w:color="auto"/>
              <w:bottom w:val="single" w:sz="4" w:space="0" w:color="auto"/>
            </w:tcBorders>
          </w:tcPr>
          <w:p w14:paraId="2E693077" w14:textId="77777777" w:rsidR="00662C16" w:rsidRPr="00EF66B0" w:rsidRDefault="00662C16" w:rsidP="00DB79EC">
            <w:pPr>
              <w:spacing w:before="120" w:after="120"/>
              <w:rPr>
                <w:rFonts w:cs="Arial"/>
                <w:sz w:val="20"/>
                <w:szCs w:val="20"/>
              </w:rPr>
            </w:pPr>
            <w:r w:rsidRPr="00EF66B0">
              <w:rPr>
                <w:rFonts w:cs="Arial"/>
                <w:sz w:val="20"/>
                <w:szCs w:val="20"/>
              </w:rPr>
              <w:t>NT Department of Primary Industry and Resources</w:t>
            </w:r>
          </w:p>
        </w:tc>
      </w:tr>
      <w:tr w:rsidR="00662C16" w:rsidRPr="007C16F0" w14:paraId="1D3BE267"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shd w:val="clear" w:color="auto" w:fill="EAEAEA"/>
          </w:tcPr>
          <w:p w14:paraId="6C94A2F1" w14:textId="77777777" w:rsidR="00662C16" w:rsidRPr="008773E6" w:rsidRDefault="00662C16" w:rsidP="00DB79EC">
            <w:pPr>
              <w:rPr>
                <w:rFonts w:cs="Arial"/>
                <w:b/>
              </w:rPr>
            </w:pPr>
            <w:r w:rsidRPr="008773E6">
              <w:rPr>
                <w:rFonts w:cs="Arial"/>
                <w:b/>
                <w:sz w:val="20"/>
                <w:szCs w:val="20"/>
              </w:rPr>
              <w:t>INDUSTRY</w:t>
            </w:r>
          </w:p>
        </w:tc>
      </w:tr>
      <w:tr w:rsidR="00662C16" w:rsidRPr="00DA4672" w14:paraId="69746D4F"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1D693DCC" w14:textId="77777777" w:rsidR="00662C16" w:rsidRPr="00EF66B0" w:rsidRDefault="00662C16" w:rsidP="00DB79EC">
            <w:pPr>
              <w:spacing w:before="120" w:after="120"/>
              <w:rPr>
                <w:rFonts w:cs="Arial"/>
                <w:sz w:val="20"/>
                <w:szCs w:val="20"/>
              </w:rPr>
            </w:pPr>
            <w:r w:rsidRPr="00EF66B0">
              <w:rPr>
                <w:rFonts w:cs="Arial"/>
                <w:sz w:val="20"/>
                <w:szCs w:val="20"/>
              </w:rPr>
              <w:t>Produce Marketing Association (PMA) Australia-New Zealand</w:t>
            </w:r>
          </w:p>
        </w:tc>
      </w:tr>
      <w:tr w:rsidR="00662C16" w:rsidRPr="00DA4672" w14:paraId="35211682"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3292645D" w14:textId="77777777" w:rsidR="00662C16" w:rsidRPr="00EF66B0" w:rsidRDefault="00662C16" w:rsidP="00DB79EC">
            <w:pPr>
              <w:spacing w:before="120" w:after="120"/>
              <w:rPr>
                <w:rFonts w:cs="Arial"/>
                <w:sz w:val="20"/>
                <w:szCs w:val="20"/>
              </w:rPr>
            </w:pPr>
            <w:r w:rsidRPr="00EF66B0">
              <w:rPr>
                <w:rFonts w:cs="Arial"/>
                <w:sz w:val="20"/>
                <w:szCs w:val="20"/>
              </w:rPr>
              <w:t>Driscoll’s</w:t>
            </w:r>
          </w:p>
        </w:tc>
      </w:tr>
      <w:tr w:rsidR="00662C16" w:rsidRPr="00DA4672" w14:paraId="4DF2A3E3"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51694115" w14:textId="77777777" w:rsidR="00662C16" w:rsidRPr="00EF66B0" w:rsidRDefault="00662C16" w:rsidP="00DB79EC">
            <w:pPr>
              <w:spacing w:before="120" w:after="120"/>
              <w:rPr>
                <w:rFonts w:cs="Arial"/>
                <w:sz w:val="20"/>
                <w:szCs w:val="20"/>
              </w:rPr>
            </w:pPr>
            <w:r w:rsidRPr="00EF66B0">
              <w:rPr>
                <w:rFonts w:cs="Arial"/>
                <w:sz w:val="20"/>
                <w:szCs w:val="20"/>
              </w:rPr>
              <w:t>Growcom</w:t>
            </w:r>
          </w:p>
        </w:tc>
      </w:tr>
      <w:tr w:rsidR="00662C16" w:rsidRPr="00DA4672" w14:paraId="6198F244"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70860C76" w14:textId="77777777" w:rsidR="00662C16" w:rsidRPr="00EF66B0" w:rsidRDefault="00662C16" w:rsidP="00DB79EC">
            <w:pPr>
              <w:spacing w:before="120" w:after="120"/>
              <w:rPr>
                <w:rFonts w:cs="Arial"/>
                <w:sz w:val="20"/>
                <w:szCs w:val="20"/>
              </w:rPr>
            </w:pPr>
            <w:r w:rsidRPr="00EF66B0">
              <w:rPr>
                <w:rFonts w:cs="Arial"/>
                <w:sz w:val="20"/>
                <w:szCs w:val="20"/>
              </w:rPr>
              <w:t>Australian Vegetable and Potato Growers Federation – AusVeg</w:t>
            </w:r>
          </w:p>
        </w:tc>
      </w:tr>
      <w:tr w:rsidR="00662C16" w:rsidRPr="00DA4672" w14:paraId="7B8D9E32"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43930E05" w14:textId="77777777" w:rsidR="00662C16" w:rsidRPr="00EF66B0" w:rsidRDefault="00662C16" w:rsidP="00DB79EC">
            <w:pPr>
              <w:spacing w:before="120" w:after="120"/>
              <w:rPr>
                <w:rFonts w:cs="Arial"/>
                <w:sz w:val="20"/>
                <w:szCs w:val="20"/>
              </w:rPr>
            </w:pPr>
            <w:r w:rsidRPr="00EF66B0">
              <w:rPr>
                <w:rFonts w:cs="Arial"/>
                <w:sz w:val="20"/>
                <w:szCs w:val="20"/>
              </w:rPr>
              <w:t>Fresh Markets Australia</w:t>
            </w:r>
          </w:p>
        </w:tc>
      </w:tr>
      <w:tr w:rsidR="00662C16" w:rsidRPr="00DA4672" w14:paraId="6B041F54"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02FACFD7" w14:textId="77777777" w:rsidR="00662C16" w:rsidRPr="00EF66B0" w:rsidRDefault="00662C16" w:rsidP="00DB79EC">
            <w:pPr>
              <w:spacing w:before="120" w:after="120"/>
              <w:rPr>
                <w:rFonts w:cs="Arial"/>
                <w:sz w:val="20"/>
                <w:szCs w:val="20"/>
              </w:rPr>
            </w:pPr>
            <w:r w:rsidRPr="00EF66B0">
              <w:rPr>
                <w:rFonts w:cs="Arial"/>
                <w:sz w:val="20"/>
                <w:szCs w:val="20"/>
              </w:rPr>
              <w:t>Fresh Produce Safety Centre</w:t>
            </w:r>
          </w:p>
        </w:tc>
      </w:tr>
      <w:tr w:rsidR="00662C16" w:rsidRPr="00DA4672" w14:paraId="6F8FCAD8"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1832CA83" w14:textId="77777777" w:rsidR="00662C16" w:rsidRPr="00EF66B0" w:rsidRDefault="00662C16" w:rsidP="00DB79EC">
            <w:pPr>
              <w:spacing w:before="120" w:after="120"/>
              <w:rPr>
                <w:rFonts w:cs="Arial"/>
                <w:sz w:val="20"/>
                <w:szCs w:val="20"/>
              </w:rPr>
            </w:pPr>
            <w:r w:rsidRPr="00EF66B0">
              <w:rPr>
                <w:rFonts w:cs="Arial"/>
                <w:sz w:val="20"/>
                <w:szCs w:val="20"/>
              </w:rPr>
              <w:t>Hort Innovation</w:t>
            </w:r>
          </w:p>
        </w:tc>
      </w:tr>
      <w:tr w:rsidR="00662C16" w:rsidRPr="00DA4672" w14:paraId="2B1F0982"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7A65B6B4" w14:textId="77777777" w:rsidR="00662C16" w:rsidRPr="00EF66B0" w:rsidRDefault="00662C16" w:rsidP="00DB79EC">
            <w:pPr>
              <w:spacing w:before="120" w:after="120"/>
              <w:rPr>
                <w:rFonts w:cs="Arial"/>
                <w:sz w:val="20"/>
                <w:szCs w:val="20"/>
              </w:rPr>
            </w:pPr>
            <w:r w:rsidRPr="00EF66B0">
              <w:rPr>
                <w:rFonts w:cs="Arial"/>
                <w:sz w:val="20"/>
                <w:szCs w:val="20"/>
              </w:rPr>
              <w:t>Berries Australia</w:t>
            </w:r>
          </w:p>
        </w:tc>
      </w:tr>
      <w:tr w:rsidR="00662C16" w:rsidRPr="00DA4672" w14:paraId="3C5E67A5"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60BC8C47" w14:textId="77777777" w:rsidR="00662C16" w:rsidRPr="00EF66B0" w:rsidRDefault="00662C16" w:rsidP="00DB79EC">
            <w:pPr>
              <w:spacing w:before="120" w:after="120"/>
              <w:rPr>
                <w:rFonts w:cs="Arial"/>
                <w:sz w:val="20"/>
                <w:szCs w:val="20"/>
              </w:rPr>
            </w:pPr>
            <w:r w:rsidRPr="00EF66B0">
              <w:rPr>
                <w:rFonts w:cs="Arial"/>
                <w:sz w:val="20"/>
                <w:szCs w:val="20"/>
              </w:rPr>
              <w:t>Australian Melon Association</w:t>
            </w:r>
          </w:p>
        </w:tc>
      </w:tr>
      <w:tr w:rsidR="00662C16" w:rsidRPr="00DA4672" w14:paraId="7B62E09F"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0CBAF558" w14:textId="77777777" w:rsidR="00662C16" w:rsidRPr="00EF66B0" w:rsidRDefault="00662C16" w:rsidP="00DB79EC">
            <w:pPr>
              <w:spacing w:before="120" w:after="120"/>
              <w:rPr>
                <w:rFonts w:cs="Arial"/>
                <w:sz w:val="20"/>
                <w:szCs w:val="20"/>
              </w:rPr>
            </w:pPr>
            <w:r w:rsidRPr="00EF66B0">
              <w:rPr>
                <w:rFonts w:cs="Arial"/>
                <w:sz w:val="20"/>
                <w:szCs w:val="20"/>
              </w:rPr>
              <w:lastRenderedPageBreak/>
              <w:t>One Harvest</w:t>
            </w:r>
          </w:p>
        </w:tc>
      </w:tr>
      <w:tr w:rsidR="00662C16" w:rsidRPr="00DA4672" w14:paraId="6C28FC08"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1B5021AF" w14:textId="77777777" w:rsidR="00662C16" w:rsidRPr="00EF66B0" w:rsidRDefault="00662C16" w:rsidP="00DB79EC">
            <w:pPr>
              <w:spacing w:before="120" w:after="120"/>
              <w:rPr>
                <w:rFonts w:cs="Arial"/>
                <w:sz w:val="20"/>
                <w:szCs w:val="20"/>
              </w:rPr>
            </w:pPr>
            <w:r w:rsidRPr="00EF66B0">
              <w:rPr>
                <w:rFonts w:cs="Arial"/>
                <w:sz w:val="20"/>
                <w:szCs w:val="20"/>
              </w:rPr>
              <w:t>Freshcare</w:t>
            </w:r>
          </w:p>
        </w:tc>
      </w:tr>
      <w:tr w:rsidR="00662C16" w:rsidRPr="00DA4672" w14:paraId="39762FFE" w14:textId="77777777" w:rsidTr="00DB79EC">
        <w:trPr>
          <w:trHeight w:val="227"/>
        </w:trPr>
        <w:tc>
          <w:tcPr>
            <w:tcW w:w="9072" w:type="dxa"/>
            <w:tcBorders>
              <w:top w:val="single" w:sz="4" w:space="0" w:color="auto"/>
              <w:left w:val="single" w:sz="12" w:space="0" w:color="auto"/>
              <w:bottom w:val="single" w:sz="4" w:space="0" w:color="auto"/>
              <w:right w:val="single" w:sz="12" w:space="0" w:color="auto"/>
            </w:tcBorders>
          </w:tcPr>
          <w:p w14:paraId="7B59A75A" w14:textId="77777777" w:rsidR="00662C16" w:rsidRPr="00EF66B0" w:rsidRDefault="00662C16" w:rsidP="00DB79EC">
            <w:pPr>
              <w:spacing w:before="120" w:after="120"/>
              <w:rPr>
                <w:rFonts w:cs="Arial"/>
                <w:sz w:val="20"/>
                <w:szCs w:val="20"/>
              </w:rPr>
            </w:pPr>
            <w:r w:rsidRPr="00EF66B0">
              <w:rPr>
                <w:rFonts w:cs="Arial"/>
                <w:sz w:val="20"/>
                <w:szCs w:val="20"/>
              </w:rPr>
              <w:t>National Farmers’ Federation</w:t>
            </w:r>
          </w:p>
        </w:tc>
      </w:tr>
    </w:tbl>
    <w:p w14:paraId="77603A85" w14:textId="01DD8FD0" w:rsidR="00662C16" w:rsidRDefault="00662C16" w:rsidP="00662C16"/>
    <w:p w14:paraId="6167BB69" w14:textId="01F023E0" w:rsidR="00A82465" w:rsidRDefault="00A82465" w:rsidP="00A82465">
      <w:pPr>
        <w:pStyle w:val="Heading2"/>
        <w:keepLines/>
        <w:widowControl/>
        <w:numPr>
          <w:ilvl w:val="1"/>
          <w:numId w:val="5"/>
        </w:numPr>
        <w:spacing w:after="0"/>
        <w:rPr>
          <w:rFonts w:ascii="Arial Bold" w:eastAsia="Calibri" w:hAnsi="Arial Bold" w:cs="Times New Roman"/>
          <w:bCs w:val="0"/>
          <w:szCs w:val="28"/>
          <w:lang w:val="en-AU" w:eastAsia="en-GB"/>
        </w:rPr>
      </w:pPr>
      <w:bookmarkStart w:id="7" w:name="_Toc87450533"/>
      <w:r>
        <w:rPr>
          <w:rFonts w:ascii="Arial Bold" w:eastAsia="Calibri" w:hAnsi="Arial Bold" w:cs="Times New Roman"/>
          <w:bCs w:val="0"/>
          <w:szCs w:val="28"/>
          <w:lang w:val="en-AU" w:eastAsia="en-GB"/>
        </w:rPr>
        <w:t>Horticulture Standards Development Advisory Group Terms of Reference</w:t>
      </w:r>
      <w:bookmarkEnd w:id="7"/>
    </w:p>
    <w:p w14:paraId="446C976F" w14:textId="77777777" w:rsidR="0049775B" w:rsidRDefault="0049775B" w:rsidP="0049775B">
      <w:pPr>
        <w:rPr>
          <w:rFonts w:eastAsia="Calibri"/>
          <w:lang w:eastAsia="en-GB"/>
        </w:rPr>
      </w:pPr>
    </w:p>
    <w:p w14:paraId="77F7033D" w14:textId="0B513810" w:rsidR="0049775B" w:rsidRPr="0049775B" w:rsidRDefault="0049775B" w:rsidP="0049775B">
      <w:pPr>
        <w:rPr>
          <w:rFonts w:eastAsia="Calibri"/>
          <w:lang w:eastAsia="en-GB"/>
        </w:rPr>
      </w:pPr>
      <w:r>
        <w:rPr>
          <w:rFonts w:eastAsia="Calibri"/>
          <w:lang w:eastAsia="en-GB"/>
        </w:rPr>
        <w:t>The SDAG Terms of Reference</w:t>
      </w:r>
      <w:r w:rsidRPr="0049775B">
        <w:rPr>
          <w:rFonts w:eastAsia="Calibri"/>
          <w:lang w:eastAsia="en-GB"/>
        </w:rPr>
        <w:t xml:space="preserve"> are provided at </w:t>
      </w:r>
      <w:r w:rsidRPr="008D1854">
        <w:rPr>
          <w:rFonts w:eastAsia="Calibri"/>
          <w:lang w:eastAsia="en-GB"/>
        </w:rPr>
        <w:t xml:space="preserve">Annex </w:t>
      </w:r>
      <w:r w:rsidR="00A021FF">
        <w:rPr>
          <w:rFonts w:eastAsia="Calibri"/>
          <w:lang w:eastAsia="en-GB"/>
        </w:rPr>
        <w:t>1</w:t>
      </w:r>
      <w:r w:rsidRPr="0049775B">
        <w:rPr>
          <w:rFonts w:eastAsia="Calibri"/>
          <w:lang w:eastAsia="en-GB"/>
        </w:rPr>
        <w:t>.</w:t>
      </w:r>
    </w:p>
    <w:p w14:paraId="14DE427B" w14:textId="3434D7A5" w:rsidR="00D60568" w:rsidRDefault="00D60568" w:rsidP="00690206"/>
    <w:p w14:paraId="2DA915DE" w14:textId="77777777" w:rsidR="00662C16" w:rsidRDefault="00662C16" w:rsidP="00690206"/>
    <w:p w14:paraId="4AB8AD6E" w14:textId="77777777" w:rsidR="00662C16" w:rsidRDefault="00662C16">
      <w:pPr>
        <w:widowControl/>
      </w:pPr>
      <w:r>
        <w:br w:type="page"/>
      </w:r>
    </w:p>
    <w:p w14:paraId="29E22F40" w14:textId="18F6798F" w:rsidR="00662C16" w:rsidRDefault="00662C16" w:rsidP="00662C16">
      <w:pPr>
        <w:jc w:val="right"/>
        <w:rPr>
          <w:b/>
          <w:sz w:val="32"/>
        </w:rPr>
      </w:pPr>
      <w:r w:rsidRPr="00662C16">
        <w:rPr>
          <w:b/>
          <w:sz w:val="32"/>
        </w:rPr>
        <w:lastRenderedPageBreak/>
        <w:t>Annex 1</w:t>
      </w:r>
    </w:p>
    <w:p w14:paraId="42A20F75" w14:textId="4838C567" w:rsidR="00DB79EC" w:rsidRDefault="00DB79EC" w:rsidP="00662C16">
      <w:pPr>
        <w:jc w:val="right"/>
        <w:rPr>
          <w:b/>
          <w:sz w:val="32"/>
        </w:rPr>
      </w:pPr>
    </w:p>
    <w:p w14:paraId="07500B92" w14:textId="77777777" w:rsidR="00DB79EC" w:rsidRDefault="00DB79EC" w:rsidP="00DB79EC">
      <w:pPr>
        <w:jc w:val="center"/>
        <w:rPr>
          <w:b/>
        </w:rPr>
      </w:pPr>
      <w:r w:rsidRPr="00E5052A">
        <w:rPr>
          <w:b/>
        </w:rPr>
        <w:t>Food Standards Australia New Zealand</w:t>
      </w:r>
    </w:p>
    <w:p w14:paraId="24D8A44D" w14:textId="77777777" w:rsidR="00DB79EC" w:rsidRPr="00E5052A" w:rsidRDefault="00DB79EC" w:rsidP="00DB79EC">
      <w:pPr>
        <w:jc w:val="center"/>
        <w:rPr>
          <w:b/>
        </w:rPr>
      </w:pPr>
    </w:p>
    <w:p w14:paraId="2623E3A8" w14:textId="77777777" w:rsidR="00DB79EC" w:rsidRDefault="00DB79EC" w:rsidP="00DB79EC">
      <w:pPr>
        <w:jc w:val="center"/>
        <w:rPr>
          <w:b/>
        </w:rPr>
      </w:pPr>
      <w:r w:rsidRPr="00E5052A">
        <w:rPr>
          <w:b/>
        </w:rPr>
        <w:t>Terms of Reference and Procedures</w:t>
      </w:r>
    </w:p>
    <w:p w14:paraId="49E17B06" w14:textId="77777777" w:rsidR="00DB79EC" w:rsidRPr="00E5052A" w:rsidRDefault="00DB79EC" w:rsidP="00DB79EC">
      <w:pPr>
        <w:jc w:val="center"/>
        <w:rPr>
          <w:b/>
        </w:rPr>
      </w:pPr>
    </w:p>
    <w:p w14:paraId="6A396A98" w14:textId="77777777" w:rsidR="00DB79EC" w:rsidRPr="00805632" w:rsidRDefault="00DB79EC" w:rsidP="00DB79EC">
      <w:pPr>
        <w:jc w:val="center"/>
        <w:rPr>
          <w:b/>
        </w:rPr>
      </w:pPr>
      <w:r w:rsidRPr="00805632">
        <w:rPr>
          <w:b/>
        </w:rPr>
        <w:t>Horticulture Standards Development Advisory Group</w:t>
      </w:r>
    </w:p>
    <w:p w14:paraId="37BB4C1F" w14:textId="77777777" w:rsidR="00DB79EC" w:rsidRPr="00805632" w:rsidRDefault="00DB79EC" w:rsidP="00DB79EC">
      <w:pPr>
        <w:jc w:val="center"/>
        <w:rPr>
          <w:b/>
        </w:rPr>
      </w:pPr>
    </w:p>
    <w:p w14:paraId="27640141" w14:textId="05848FB0" w:rsidR="00DB79EC" w:rsidRPr="00C95013" w:rsidRDefault="00DB79EC" w:rsidP="00DB79EC">
      <w:r w:rsidRPr="00805632">
        <w:t>Food Standards Australia New Zealand (FSANZ) has established a group to assist it in its work to consider the development of a primary production and processing standard for</w:t>
      </w:r>
      <w:r w:rsidR="00B660D5">
        <w:t xml:space="preserve"> </w:t>
      </w:r>
      <w:r w:rsidR="00B660D5" w:rsidRPr="00C95013">
        <w:t>berries, leafy vegetables and melons.</w:t>
      </w:r>
    </w:p>
    <w:p w14:paraId="4290D2BC" w14:textId="77777777" w:rsidR="00DB79EC" w:rsidRPr="00C95013" w:rsidRDefault="00DB79EC" w:rsidP="00DB79EC"/>
    <w:p w14:paraId="48F15202" w14:textId="77777777" w:rsidR="00DB79EC" w:rsidRPr="00C95013" w:rsidRDefault="00DB79EC" w:rsidP="00DB79EC">
      <w:r w:rsidRPr="00C95013">
        <w:t>The group will be known as the Horticulture Standards Development Advisory Group.</w:t>
      </w:r>
    </w:p>
    <w:p w14:paraId="6CE3FD27" w14:textId="77777777" w:rsidR="00DB79EC" w:rsidRPr="00C95013" w:rsidRDefault="00DB79EC" w:rsidP="00DB79EC">
      <w:pPr>
        <w:pStyle w:val="Heading3"/>
        <w:rPr>
          <w:lang w:eastAsia="en-US"/>
        </w:rPr>
      </w:pPr>
      <w:bookmarkStart w:id="8" w:name="_Toc61004533"/>
      <w:bookmarkStart w:id="9" w:name="_Toc87450534"/>
      <w:r w:rsidRPr="00C95013">
        <w:rPr>
          <w:lang w:eastAsia="en-US"/>
        </w:rPr>
        <w:t>Role</w:t>
      </w:r>
      <w:bookmarkEnd w:id="8"/>
      <w:bookmarkEnd w:id="9"/>
      <w:r w:rsidRPr="00C95013">
        <w:rPr>
          <w:lang w:eastAsia="en-US"/>
        </w:rPr>
        <w:t xml:space="preserve"> </w:t>
      </w:r>
    </w:p>
    <w:p w14:paraId="0173A6A0" w14:textId="5C6848B4" w:rsidR="00DB79EC" w:rsidRPr="00805632" w:rsidRDefault="00DB79EC" w:rsidP="00DB79EC">
      <w:r w:rsidRPr="00C95013">
        <w:t>The role of the group is to provide information and advice</w:t>
      </w:r>
      <w:r w:rsidRPr="00C95013">
        <w:rPr>
          <w:rFonts w:cs="Arial"/>
        </w:rPr>
        <w:t xml:space="preserve"> </w:t>
      </w:r>
      <w:r w:rsidRPr="00C95013">
        <w:t>relating to Proposal P1052 Primary Production and Processing Requirements for Horticulture</w:t>
      </w:r>
      <w:r w:rsidR="00B660D5" w:rsidRPr="00C95013">
        <w:t xml:space="preserve"> (Berries, Leafy Vegetables and Melons)</w:t>
      </w:r>
      <w:r w:rsidRPr="00C95013">
        <w:t xml:space="preserve"> (P1052), as</w:t>
      </w:r>
      <w:r w:rsidRPr="00805632">
        <w:t xml:space="preserve"> and when requested by FSANZ. </w:t>
      </w:r>
    </w:p>
    <w:p w14:paraId="4CCBF981" w14:textId="77777777" w:rsidR="00DB79EC" w:rsidRPr="00805632" w:rsidRDefault="00DB79EC" w:rsidP="00DB79EC"/>
    <w:p w14:paraId="482F983D" w14:textId="77777777" w:rsidR="00DB79EC" w:rsidRDefault="00DB79EC" w:rsidP="00DB79EC">
      <w:r w:rsidRPr="00805632">
        <w:t xml:space="preserve">The matters on which </w:t>
      </w:r>
      <w:r>
        <w:t>advice or information may be sought from individual members of the</w:t>
      </w:r>
      <w:r w:rsidRPr="00805632">
        <w:t xml:space="preserve"> </w:t>
      </w:r>
      <w:r>
        <w:rPr>
          <w:rFonts w:cs="Arial"/>
        </w:rPr>
        <w:t xml:space="preserve">group </w:t>
      </w:r>
      <w:r>
        <w:t>include, but are not limited to:</w:t>
      </w:r>
    </w:p>
    <w:p w14:paraId="64F04150" w14:textId="77777777" w:rsidR="00DB79EC" w:rsidRDefault="00DB79EC" w:rsidP="00DB79EC">
      <w:pPr>
        <w:pStyle w:val="ListParagraph"/>
        <w:numPr>
          <w:ilvl w:val="0"/>
          <w:numId w:val="6"/>
        </w:numPr>
        <w:spacing w:after="0"/>
      </w:pPr>
      <w:r>
        <w:t>providing</w:t>
      </w:r>
      <w:r w:rsidRPr="00805632">
        <w:t xml:space="preserve"> scientific, technical, regulatory/enforcement, benefit and cost analysis or other input that may be relevant to the assessments required during the development of a</w:t>
      </w:r>
      <w:r>
        <w:t xml:space="preserve"> Standard; and </w:t>
      </w:r>
    </w:p>
    <w:p w14:paraId="70067C24" w14:textId="77777777" w:rsidR="00DB79EC" w:rsidRPr="00805632" w:rsidRDefault="00DB79EC" w:rsidP="00DB79EC">
      <w:pPr>
        <w:pStyle w:val="ListParagraph"/>
        <w:numPr>
          <w:ilvl w:val="0"/>
          <w:numId w:val="6"/>
        </w:numPr>
        <w:spacing w:after="0"/>
      </w:pPr>
      <w:r>
        <w:t>identifying linkages with relevant sectors and organisations on standard development issues.</w:t>
      </w:r>
    </w:p>
    <w:p w14:paraId="43D5685D" w14:textId="77777777" w:rsidR="00DB79EC" w:rsidRPr="00610F0F" w:rsidRDefault="00DB79EC" w:rsidP="00DB79EC">
      <w:pPr>
        <w:pStyle w:val="ListParagraph"/>
        <w:rPr>
          <w:color w:val="FF0000"/>
        </w:rPr>
      </w:pPr>
    </w:p>
    <w:p w14:paraId="6D119837" w14:textId="77777777" w:rsidR="00DB79EC" w:rsidRPr="00805632" w:rsidRDefault="00DB79EC" w:rsidP="00DB79EC">
      <w:r w:rsidRPr="00805632">
        <w:t xml:space="preserve">In providing advice and </w:t>
      </w:r>
      <w:r>
        <w:t>information</w:t>
      </w:r>
      <w:r w:rsidRPr="00805632">
        <w:t xml:space="preserve">, </w:t>
      </w:r>
      <w:r>
        <w:t xml:space="preserve">the group </w:t>
      </w:r>
      <w:r w:rsidRPr="00805632">
        <w:t xml:space="preserve">must </w:t>
      </w:r>
      <w:r>
        <w:t>have regard</w:t>
      </w:r>
      <w:r w:rsidRPr="00805632">
        <w:t xml:space="preserve"> to the </w:t>
      </w:r>
      <w:hyperlink r:id="rId18" w:history="1">
        <w:r>
          <w:rPr>
            <w:rStyle w:val="Hyperlink"/>
            <w:i/>
          </w:rPr>
          <w:t>Overarching Policy Guideline on Primary Production and Processing Standards</w:t>
        </w:r>
      </w:hyperlink>
      <w:r w:rsidRPr="00805632">
        <w:rPr>
          <w:i/>
        </w:rPr>
        <w:t xml:space="preserve"> </w:t>
      </w:r>
      <w:r w:rsidRPr="00805632">
        <w:t>approved in 2006 by the then Australian and New Zealand Food Regulation Ministerial Council (now Australia and New Zealand Ministerial Forum on Food Regulation)</w:t>
      </w:r>
      <w:r>
        <w:t>.</w:t>
      </w:r>
    </w:p>
    <w:p w14:paraId="57096D6A" w14:textId="77777777" w:rsidR="00DB79EC" w:rsidRPr="00C9532D" w:rsidRDefault="00DB79EC" w:rsidP="00DB79EC">
      <w:pPr>
        <w:pStyle w:val="Heading3"/>
        <w:rPr>
          <w:lang w:eastAsia="en-US"/>
        </w:rPr>
      </w:pPr>
      <w:bookmarkStart w:id="10" w:name="_Toc61004534"/>
      <w:bookmarkStart w:id="11" w:name="_Toc87450535"/>
      <w:r w:rsidRPr="00C9532D">
        <w:rPr>
          <w:lang w:eastAsia="en-US"/>
        </w:rPr>
        <w:t>Boundaries</w:t>
      </w:r>
      <w:bookmarkEnd w:id="10"/>
      <w:bookmarkEnd w:id="11"/>
    </w:p>
    <w:p w14:paraId="1FB76A08" w14:textId="77777777" w:rsidR="00DB79EC" w:rsidRDefault="00DB79EC" w:rsidP="00DB79EC">
      <w:pPr>
        <w:rPr>
          <w:rFonts w:cs="Arial"/>
        </w:rPr>
      </w:pPr>
      <w:r w:rsidRPr="00805632">
        <w:t xml:space="preserve">The </w:t>
      </w:r>
      <w:r w:rsidRPr="00805632">
        <w:rPr>
          <w:rFonts w:cs="Arial"/>
        </w:rPr>
        <w:t xml:space="preserve">group </w:t>
      </w:r>
      <w:r w:rsidRPr="00805632">
        <w:t xml:space="preserve">is an advisory body only and not a decision-making </w:t>
      </w:r>
      <w:r w:rsidRPr="00805632">
        <w:rPr>
          <w:rFonts w:cs="Arial"/>
        </w:rPr>
        <w:t xml:space="preserve">body. </w:t>
      </w:r>
    </w:p>
    <w:p w14:paraId="5A6B654F" w14:textId="77777777" w:rsidR="00DB79EC" w:rsidRDefault="00DB79EC" w:rsidP="00DB79EC">
      <w:pPr>
        <w:rPr>
          <w:rFonts w:cs="Arial"/>
        </w:rPr>
      </w:pPr>
    </w:p>
    <w:p w14:paraId="651A6E93" w14:textId="77777777" w:rsidR="00DB79EC" w:rsidRPr="00F730D5" w:rsidRDefault="00DB79EC" w:rsidP="00DB79EC">
      <w:pPr>
        <w:rPr>
          <w:rFonts w:cs="Arial"/>
        </w:rPr>
      </w:pPr>
      <w:r>
        <w:rPr>
          <w:rFonts w:cs="Arial"/>
        </w:rPr>
        <w:t xml:space="preserve">FSANZ is responsible for the development of a standard including the assessment, development of management options, communication, regulatory analysis and legal drafting. </w:t>
      </w:r>
      <w:r w:rsidRPr="00F730D5">
        <w:rPr>
          <w:rFonts w:cs="Arial"/>
        </w:rPr>
        <w:t>Implementation</w:t>
      </w:r>
      <w:r>
        <w:rPr>
          <w:rFonts w:cs="Arial"/>
        </w:rPr>
        <w:t xml:space="preserve"> </w:t>
      </w:r>
      <w:r w:rsidRPr="00F730D5">
        <w:rPr>
          <w:rFonts w:cs="Arial"/>
        </w:rPr>
        <w:t xml:space="preserve">is the responsibility of </w:t>
      </w:r>
      <w:r>
        <w:rPr>
          <w:rFonts w:cs="Arial"/>
        </w:rPr>
        <w:t>jurisdictions and for consideration by the ISFR Horticulture Implementation Working Group (ISFR HIWG)</w:t>
      </w:r>
      <w:r w:rsidRPr="00F730D5">
        <w:rPr>
          <w:rFonts w:cs="Arial"/>
        </w:rPr>
        <w:t xml:space="preserve">. </w:t>
      </w:r>
    </w:p>
    <w:p w14:paraId="4210E64D" w14:textId="77777777" w:rsidR="00DB79EC" w:rsidRPr="00805632" w:rsidRDefault="00DB79EC" w:rsidP="00DB79EC">
      <w:pPr>
        <w:rPr>
          <w:rFonts w:cs="Arial"/>
        </w:rPr>
      </w:pPr>
    </w:p>
    <w:p w14:paraId="1D5FFD34" w14:textId="32530A10" w:rsidR="00DB79EC" w:rsidRDefault="00DB79EC" w:rsidP="00DB79EC">
      <w:pPr>
        <w:rPr>
          <w:szCs w:val="20"/>
        </w:rPr>
      </w:pPr>
      <w:r w:rsidRPr="00805632">
        <w:rPr>
          <w:rFonts w:cs="Arial"/>
        </w:rPr>
        <w:t>A</w:t>
      </w:r>
      <w:r w:rsidRPr="00805632">
        <w:rPr>
          <w:szCs w:val="20"/>
        </w:rPr>
        <w:t>ny information</w:t>
      </w:r>
      <w:r>
        <w:rPr>
          <w:szCs w:val="20"/>
        </w:rPr>
        <w:t xml:space="preserve"> or</w:t>
      </w:r>
      <w:r w:rsidRPr="00805632">
        <w:rPr>
          <w:szCs w:val="20"/>
        </w:rPr>
        <w:t xml:space="preserve"> advice provided by the </w:t>
      </w:r>
      <w:r w:rsidRPr="00805632">
        <w:rPr>
          <w:rFonts w:cs="Arial"/>
        </w:rPr>
        <w:t xml:space="preserve">group </w:t>
      </w:r>
      <w:r w:rsidRPr="00805632">
        <w:rPr>
          <w:szCs w:val="20"/>
        </w:rPr>
        <w:t>is non-binding on FSANZ.</w:t>
      </w:r>
    </w:p>
    <w:p w14:paraId="01757614" w14:textId="77777777" w:rsidR="00A87999" w:rsidRDefault="00A87999" w:rsidP="00DB79EC">
      <w:pPr>
        <w:rPr>
          <w:szCs w:val="20"/>
        </w:rPr>
      </w:pPr>
    </w:p>
    <w:p w14:paraId="06B96513" w14:textId="520C336A" w:rsidR="00662C16" w:rsidRPr="00E93DA4" w:rsidRDefault="00662C16" w:rsidP="00E93DA4">
      <w:pPr>
        <w:widowControl/>
        <w:rPr>
          <w:szCs w:val="20"/>
        </w:rPr>
      </w:pPr>
      <w:bookmarkStart w:id="12" w:name="_Toc61004535"/>
      <w:bookmarkEnd w:id="12"/>
    </w:p>
    <w:sectPr w:rsidR="00662C16" w:rsidRPr="00E93DA4"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AD034" w14:textId="77777777" w:rsidR="002E7426" w:rsidRDefault="002E7426">
      <w:r>
        <w:separator/>
      </w:r>
    </w:p>
  </w:endnote>
  <w:endnote w:type="continuationSeparator" w:id="0">
    <w:p w14:paraId="5AFEF694" w14:textId="77777777" w:rsidR="002E7426" w:rsidRDefault="002E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55D6" w14:textId="602E3916" w:rsidR="00DB79EC" w:rsidRDefault="00DB79EC" w:rsidP="00542C2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F68E262" w14:textId="77777777" w:rsidR="00DB79EC" w:rsidRDefault="00DB79EC" w:rsidP="0018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617C" w14:textId="3D1BE465" w:rsidR="00DB79EC" w:rsidRDefault="00DB79E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883">
      <w:rPr>
        <w:rStyle w:val="PageNumber"/>
        <w:noProof/>
      </w:rPr>
      <w:t>1</w:t>
    </w:r>
    <w:r>
      <w:rPr>
        <w:rStyle w:val="PageNumber"/>
      </w:rPr>
      <w:fldChar w:fldCharType="end"/>
    </w:r>
  </w:p>
  <w:p w14:paraId="67B58ED0" w14:textId="77777777" w:rsidR="00DB79EC" w:rsidRDefault="00DB79EC" w:rsidP="00542C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5938" w14:textId="77777777" w:rsidR="002E7426" w:rsidRDefault="002E7426">
      <w:r>
        <w:separator/>
      </w:r>
    </w:p>
  </w:footnote>
  <w:footnote w:type="continuationSeparator" w:id="0">
    <w:p w14:paraId="0C41EEB0" w14:textId="77777777" w:rsidR="002E7426" w:rsidRDefault="002E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8CDB" w14:textId="5D22CB20" w:rsidR="00DB79EC" w:rsidRDefault="00DB79E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C81"/>
    <w:multiLevelType w:val="hybridMultilevel"/>
    <w:tmpl w:val="D4A4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CB"/>
    <w:multiLevelType w:val="hybridMultilevel"/>
    <w:tmpl w:val="6B16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02418"/>
    <w:multiLevelType w:val="hybridMultilevel"/>
    <w:tmpl w:val="BD96A1A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625781"/>
    <w:multiLevelType w:val="multilevel"/>
    <w:tmpl w:val="70F2702A"/>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A313D"/>
    <w:multiLevelType w:val="hybridMultilevel"/>
    <w:tmpl w:val="7A50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929B4"/>
    <w:multiLevelType w:val="hybridMultilevel"/>
    <w:tmpl w:val="FA9277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8C2E00"/>
    <w:multiLevelType w:val="multilevel"/>
    <w:tmpl w:val="E9529D34"/>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DF85C42"/>
    <w:multiLevelType w:val="hybridMultilevel"/>
    <w:tmpl w:val="35C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8"/>
  </w:num>
  <w:num w:numId="6">
    <w:abstractNumId w:val="10"/>
  </w:num>
  <w:num w:numId="7">
    <w:abstractNumId w:val="5"/>
  </w:num>
  <w:num w:numId="8">
    <w:abstractNumId w:val="0"/>
  </w:num>
  <w:num w:numId="9">
    <w:abstractNumId w:val="11"/>
  </w:num>
  <w:num w:numId="10">
    <w:abstractNumId w:val="2"/>
  </w:num>
  <w:num w:numId="11">
    <w:abstractNumId w:val="7"/>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16"/>
    <w:rsid w:val="00001CF2"/>
    <w:rsid w:val="0000247B"/>
    <w:rsid w:val="0000469B"/>
    <w:rsid w:val="00035FF3"/>
    <w:rsid w:val="00051021"/>
    <w:rsid w:val="00051ED9"/>
    <w:rsid w:val="00057181"/>
    <w:rsid w:val="0006473A"/>
    <w:rsid w:val="00064B2D"/>
    <w:rsid w:val="00065F1F"/>
    <w:rsid w:val="00076D33"/>
    <w:rsid w:val="000779AA"/>
    <w:rsid w:val="00092CDA"/>
    <w:rsid w:val="000A27E9"/>
    <w:rsid w:val="000A3D8B"/>
    <w:rsid w:val="000A5DF8"/>
    <w:rsid w:val="000B6AF2"/>
    <w:rsid w:val="000D6FD4"/>
    <w:rsid w:val="000E0AE4"/>
    <w:rsid w:val="000E3DBC"/>
    <w:rsid w:val="00113CE3"/>
    <w:rsid w:val="00117522"/>
    <w:rsid w:val="001542D8"/>
    <w:rsid w:val="001762D9"/>
    <w:rsid w:val="00180C41"/>
    <w:rsid w:val="00180FD0"/>
    <w:rsid w:val="00182C4C"/>
    <w:rsid w:val="00197D8D"/>
    <w:rsid w:val="001A1A75"/>
    <w:rsid w:val="001A7E9A"/>
    <w:rsid w:val="001C27A3"/>
    <w:rsid w:val="001C5295"/>
    <w:rsid w:val="001E09FA"/>
    <w:rsid w:val="001E2B08"/>
    <w:rsid w:val="00203540"/>
    <w:rsid w:val="00205C18"/>
    <w:rsid w:val="0021612B"/>
    <w:rsid w:val="0022083A"/>
    <w:rsid w:val="00221D07"/>
    <w:rsid w:val="00227E4A"/>
    <w:rsid w:val="0024582E"/>
    <w:rsid w:val="00245C56"/>
    <w:rsid w:val="002532F5"/>
    <w:rsid w:val="002547EF"/>
    <w:rsid w:val="00256D65"/>
    <w:rsid w:val="00271F00"/>
    <w:rsid w:val="00273A80"/>
    <w:rsid w:val="0029204E"/>
    <w:rsid w:val="00294883"/>
    <w:rsid w:val="0029631C"/>
    <w:rsid w:val="002A0194"/>
    <w:rsid w:val="002A3314"/>
    <w:rsid w:val="002A5F8B"/>
    <w:rsid w:val="002A7F6C"/>
    <w:rsid w:val="002D6809"/>
    <w:rsid w:val="002E7426"/>
    <w:rsid w:val="002F6488"/>
    <w:rsid w:val="00320839"/>
    <w:rsid w:val="003213F9"/>
    <w:rsid w:val="00323DBF"/>
    <w:rsid w:val="00326D85"/>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C64C6"/>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9775B"/>
    <w:rsid w:val="004A2037"/>
    <w:rsid w:val="004C2CE7"/>
    <w:rsid w:val="004F4F98"/>
    <w:rsid w:val="004F69F6"/>
    <w:rsid w:val="004F79AC"/>
    <w:rsid w:val="005017CF"/>
    <w:rsid w:val="005207D8"/>
    <w:rsid w:val="0053464E"/>
    <w:rsid w:val="0054272D"/>
    <w:rsid w:val="00542C29"/>
    <w:rsid w:val="005465D8"/>
    <w:rsid w:val="00562917"/>
    <w:rsid w:val="0057615C"/>
    <w:rsid w:val="00586228"/>
    <w:rsid w:val="005A1D97"/>
    <w:rsid w:val="005A58F3"/>
    <w:rsid w:val="005B6AF4"/>
    <w:rsid w:val="005B7A73"/>
    <w:rsid w:val="005C04CB"/>
    <w:rsid w:val="005C594A"/>
    <w:rsid w:val="005C666A"/>
    <w:rsid w:val="005D16AD"/>
    <w:rsid w:val="005D72E1"/>
    <w:rsid w:val="005E6E16"/>
    <w:rsid w:val="005F400E"/>
    <w:rsid w:val="005F7342"/>
    <w:rsid w:val="00603A08"/>
    <w:rsid w:val="00610A3C"/>
    <w:rsid w:val="00627F48"/>
    <w:rsid w:val="00630C23"/>
    <w:rsid w:val="006460AB"/>
    <w:rsid w:val="00662C16"/>
    <w:rsid w:val="00663FCF"/>
    <w:rsid w:val="006652A2"/>
    <w:rsid w:val="00690206"/>
    <w:rsid w:val="006937FF"/>
    <w:rsid w:val="00693FF7"/>
    <w:rsid w:val="006A48A7"/>
    <w:rsid w:val="006B4BA1"/>
    <w:rsid w:val="006B5EBE"/>
    <w:rsid w:val="006C5CF5"/>
    <w:rsid w:val="006F4A82"/>
    <w:rsid w:val="0070373B"/>
    <w:rsid w:val="007174D0"/>
    <w:rsid w:val="00724FA4"/>
    <w:rsid w:val="00730800"/>
    <w:rsid w:val="00744A81"/>
    <w:rsid w:val="007602AA"/>
    <w:rsid w:val="007652EF"/>
    <w:rsid w:val="00772BDC"/>
    <w:rsid w:val="00780792"/>
    <w:rsid w:val="00796562"/>
    <w:rsid w:val="007A44B4"/>
    <w:rsid w:val="007A7D3D"/>
    <w:rsid w:val="007B225D"/>
    <w:rsid w:val="007C174F"/>
    <w:rsid w:val="007C1C64"/>
    <w:rsid w:val="007C4B62"/>
    <w:rsid w:val="007D03EA"/>
    <w:rsid w:val="007D7AA8"/>
    <w:rsid w:val="007E48BC"/>
    <w:rsid w:val="007E79F7"/>
    <w:rsid w:val="007F3630"/>
    <w:rsid w:val="00807559"/>
    <w:rsid w:val="008450BC"/>
    <w:rsid w:val="0085334B"/>
    <w:rsid w:val="00870214"/>
    <w:rsid w:val="00885C51"/>
    <w:rsid w:val="00885EB0"/>
    <w:rsid w:val="00887955"/>
    <w:rsid w:val="00891F4B"/>
    <w:rsid w:val="0089264A"/>
    <w:rsid w:val="00896B85"/>
    <w:rsid w:val="008A22BE"/>
    <w:rsid w:val="008C1B36"/>
    <w:rsid w:val="008D06C6"/>
    <w:rsid w:val="008D1854"/>
    <w:rsid w:val="008E6250"/>
    <w:rsid w:val="00902AF6"/>
    <w:rsid w:val="00920249"/>
    <w:rsid w:val="00924C80"/>
    <w:rsid w:val="00932F14"/>
    <w:rsid w:val="00936AB3"/>
    <w:rsid w:val="0094247F"/>
    <w:rsid w:val="00942D60"/>
    <w:rsid w:val="0096523B"/>
    <w:rsid w:val="00966EE3"/>
    <w:rsid w:val="00972D06"/>
    <w:rsid w:val="009A391C"/>
    <w:rsid w:val="009A50F2"/>
    <w:rsid w:val="009A57E2"/>
    <w:rsid w:val="009D4267"/>
    <w:rsid w:val="009E0A61"/>
    <w:rsid w:val="009E1E87"/>
    <w:rsid w:val="009E3010"/>
    <w:rsid w:val="009F007E"/>
    <w:rsid w:val="009F7065"/>
    <w:rsid w:val="00A021FF"/>
    <w:rsid w:val="00A4175D"/>
    <w:rsid w:val="00A56DC7"/>
    <w:rsid w:val="00A74FD1"/>
    <w:rsid w:val="00A77BFA"/>
    <w:rsid w:val="00A82465"/>
    <w:rsid w:val="00A84A58"/>
    <w:rsid w:val="00A861AB"/>
    <w:rsid w:val="00A87999"/>
    <w:rsid w:val="00AF06FC"/>
    <w:rsid w:val="00AF3391"/>
    <w:rsid w:val="00AF387F"/>
    <w:rsid w:val="00B00E7F"/>
    <w:rsid w:val="00B12F1E"/>
    <w:rsid w:val="00B173DA"/>
    <w:rsid w:val="00B21DCC"/>
    <w:rsid w:val="00B25F37"/>
    <w:rsid w:val="00B37BF0"/>
    <w:rsid w:val="00B44422"/>
    <w:rsid w:val="00B46EA0"/>
    <w:rsid w:val="00B660D5"/>
    <w:rsid w:val="00B731D3"/>
    <w:rsid w:val="00B839A3"/>
    <w:rsid w:val="00B902BD"/>
    <w:rsid w:val="00BA24E2"/>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5013"/>
    <w:rsid w:val="00C96868"/>
    <w:rsid w:val="00CA0416"/>
    <w:rsid w:val="00CA641D"/>
    <w:rsid w:val="00CC22F2"/>
    <w:rsid w:val="00CC560B"/>
    <w:rsid w:val="00CC75E2"/>
    <w:rsid w:val="00CD46EB"/>
    <w:rsid w:val="00CD7EBF"/>
    <w:rsid w:val="00CF108E"/>
    <w:rsid w:val="00D056F1"/>
    <w:rsid w:val="00D11171"/>
    <w:rsid w:val="00D2168E"/>
    <w:rsid w:val="00D22F3C"/>
    <w:rsid w:val="00D23DB6"/>
    <w:rsid w:val="00D412D2"/>
    <w:rsid w:val="00D43FE6"/>
    <w:rsid w:val="00D51A95"/>
    <w:rsid w:val="00D5594F"/>
    <w:rsid w:val="00D60568"/>
    <w:rsid w:val="00D70C7A"/>
    <w:rsid w:val="00D81D38"/>
    <w:rsid w:val="00D9620E"/>
    <w:rsid w:val="00DA10A8"/>
    <w:rsid w:val="00DA4CA6"/>
    <w:rsid w:val="00DB1E08"/>
    <w:rsid w:val="00DB2973"/>
    <w:rsid w:val="00DB79EC"/>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93DA4"/>
    <w:rsid w:val="00EA7F2F"/>
    <w:rsid w:val="00EC00DE"/>
    <w:rsid w:val="00EC30E1"/>
    <w:rsid w:val="00ED172A"/>
    <w:rsid w:val="00F11F6C"/>
    <w:rsid w:val="00F14BEC"/>
    <w:rsid w:val="00F225C5"/>
    <w:rsid w:val="00F2587A"/>
    <w:rsid w:val="00F3715D"/>
    <w:rsid w:val="00F420C8"/>
    <w:rsid w:val="00F42A4C"/>
    <w:rsid w:val="00F51A9F"/>
    <w:rsid w:val="00F604DE"/>
    <w:rsid w:val="00F67F38"/>
    <w:rsid w:val="00F845A2"/>
    <w:rsid w:val="00FA01B2"/>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349DE"/>
  <w15:docId w15:val="{EDA41FDA-BD8D-4F45-AC75-E6DDFFB3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A4CA6"/>
    <w:pPr>
      <w:tabs>
        <w:tab w:val="left" w:pos="851"/>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62C16"/>
    <w:pPr>
      <w:widowControl/>
      <w:spacing w:after="240"/>
      <w:ind w:left="720"/>
      <w:contextualSpacing/>
    </w:pPr>
    <w:rPr>
      <w:rFonts w:eastAsiaTheme="minorHAnsi" w:cs="Arial"/>
      <w:color w:val="2E3037"/>
      <w:szCs w:val="22"/>
      <w:lang w:val="en-AU" w:bidi="ar-SA"/>
    </w:rPr>
  </w:style>
  <w:style w:type="paragraph" w:styleId="Title">
    <w:name w:val="Title"/>
    <w:basedOn w:val="Heading1"/>
    <w:next w:val="Heading1"/>
    <w:link w:val="TitleChar"/>
    <w:uiPriority w:val="1"/>
    <w:rsid w:val="00662C16"/>
    <w:pPr>
      <w:widowControl/>
      <w:spacing w:before="0"/>
      <w:ind w:left="0" w:firstLine="0"/>
    </w:pPr>
    <w:rPr>
      <w:rFonts w:eastAsia="Calibri" w:cstheme="majorBidi"/>
      <w:b w:val="0"/>
      <w:color w:val="0E495D"/>
      <w:sz w:val="48"/>
      <w:lang w:val="en-AU"/>
    </w:rPr>
  </w:style>
  <w:style w:type="character" w:customStyle="1" w:styleId="TitleChar">
    <w:name w:val="Title Char"/>
    <w:basedOn w:val="DefaultParagraphFont"/>
    <w:link w:val="Title"/>
    <w:uiPriority w:val="1"/>
    <w:rsid w:val="00662C16"/>
    <w:rPr>
      <w:rFonts w:ascii="Arial" w:eastAsia="Calibri" w:hAnsi="Arial" w:cstheme="majorBidi"/>
      <w:bCs/>
      <w:color w:val="0E495D"/>
      <w:sz w:val="48"/>
      <w:szCs w:val="28"/>
      <w:lang w:val="en-AU" w:eastAsia="en-US"/>
    </w:rPr>
  </w:style>
  <w:style w:type="table" w:customStyle="1" w:styleId="Table">
    <w:name w:val="Table"/>
    <w:basedOn w:val="TableNormal"/>
    <w:uiPriority w:val="99"/>
    <w:rsid w:val="00662C16"/>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customStyle="1" w:styleId="ms-rtethemeforecolor-2-0">
    <w:name w:val="ms-rtethemeforecolor-2-0"/>
    <w:basedOn w:val="DefaultParagraphFont"/>
    <w:rsid w:val="00662C16"/>
  </w:style>
  <w:style w:type="character" w:customStyle="1" w:styleId="msmetadata">
    <w:name w:val="ms_metadata"/>
    <w:basedOn w:val="DefaultParagraphFont"/>
    <w:rsid w:val="00662C16"/>
  </w:style>
  <w:style w:type="paragraph" w:customStyle="1" w:styleId="Default">
    <w:name w:val="Default"/>
    <w:rsid w:val="00B660D5"/>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660D5"/>
    <w:rPr>
      <w:rFonts w:ascii="Arial" w:eastAsiaTheme="minorHAnsi" w:hAnsi="Arial" w:cs="Arial"/>
      <w:color w:val="2E3037"/>
      <w:sz w:val="22"/>
      <w:szCs w:val="22"/>
      <w:lang w:val="en-AU" w:eastAsia="en-US"/>
    </w:rPr>
  </w:style>
  <w:style w:type="paragraph" w:customStyle="1" w:styleId="FSBullet">
    <w:name w:val="FS Bullet"/>
    <w:basedOn w:val="Normal"/>
    <w:next w:val="Normal"/>
    <w:link w:val="FSBulletChar"/>
    <w:qFormat/>
    <w:rsid w:val="00B660D5"/>
    <w:pPr>
      <w:ind w:left="567" w:hanging="567"/>
    </w:pPr>
    <w:rPr>
      <w:rFonts w:cs="Arial"/>
    </w:rPr>
  </w:style>
  <w:style w:type="character" w:customStyle="1" w:styleId="FSBulletChar">
    <w:name w:val="FS Bullet Char"/>
    <w:basedOn w:val="DefaultParagraphFont"/>
    <w:link w:val="FSBullet"/>
    <w:rsid w:val="00B660D5"/>
    <w:rPr>
      <w:rFonts w:ascii="Arial" w:hAnsi="Arial" w:cs="Arial"/>
      <w:sz w:val="22"/>
      <w:szCs w:val="24"/>
      <w:lang w:eastAsia="en-US" w:bidi="en-US"/>
    </w:rPr>
  </w:style>
  <w:style w:type="paragraph" w:styleId="CommentSubject">
    <w:name w:val="annotation subject"/>
    <w:basedOn w:val="CommentText"/>
    <w:next w:val="CommentText"/>
    <w:link w:val="CommentSubjectChar"/>
    <w:semiHidden/>
    <w:unhideWhenUsed/>
    <w:rsid w:val="00887955"/>
    <w:rPr>
      <w:b/>
      <w:bCs/>
    </w:rPr>
  </w:style>
  <w:style w:type="character" w:customStyle="1" w:styleId="CommentSubjectChar">
    <w:name w:val="Comment Subject Char"/>
    <w:basedOn w:val="CommentTextChar"/>
    <w:link w:val="CommentSubject"/>
    <w:semiHidden/>
    <w:rsid w:val="00887955"/>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87839936">
      <w:bodyDiv w:val="1"/>
      <w:marLeft w:val="0"/>
      <w:marRight w:val="0"/>
      <w:marTop w:val="0"/>
      <w:marBottom w:val="0"/>
      <w:divBdr>
        <w:top w:val="none" w:sz="0" w:space="0" w:color="auto"/>
        <w:left w:val="none" w:sz="0" w:space="0" w:color="auto"/>
        <w:bottom w:val="none" w:sz="0" w:space="0" w:color="auto"/>
        <w:right w:val="none" w:sz="0" w:space="0" w:color="auto"/>
      </w:divBdr>
    </w:div>
    <w:div w:id="21439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foodregulation.gov.au/internet/fr/publishing.nsf/Content/publication-policy-guideline-on-primary-production-and-processing-standards"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8B11BE-5068-4490-A3DD-EFF87687A19D}"/>
</file>

<file path=customXml/itemProps2.xml><?xml version="1.0" encoding="utf-8"?>
<ds:datastoreItem xmlns:ds="http://schemas.openxmlformats.org/officeDocument/2006/customXml" ds:itemID="{3943B074-6174-4DCC-9985-20C43CC9E4C3}"/>
</file>

<file path=customXml/itemProps3.xml><?xml version="1.0" encoding="utf-8"?>
<ds:datastoreItem xmlns:ds="http://schemas.openxmlformats.org/officeDocument/2006/customXml" ds:itemID="{4C4AEF4F-625B-4F91-9183-08FAAD910070}"/>
</file>

<file path=customXml/itemProps4.xml><?xml version="1.0" encoding="utf-8"?>
<ds:datastoreItem xmlns:ds="http://schemas.openxmlformats.org/officeDocument/2006/customXml" ds:itemID="{5DA24660-DBDD-4252-804F-7D7A6A5D3513}">
  <ds:schemaRefs>
    <ds:schemaRef ds:uri="http://schemas.microsoft.com/sharepoint/events"/>
  </ds:schemaRefs>
</ds:datastoreItem>
</file>

<file path=customXml/itemProps5.xml><?xml version="1.0" encoding="utf-8"?>
<ds:datastoreItem xmlns:ds="http://schemas.openxmlformats.org/officeDocument/2006/customXml" ds:itemID="{A38B11BE-5068-4490-A3DD-EFF87687A19D}">
  <ds:schemaRefs>
    <ds:schemaRef ds:uri="http://schemas.microsoft.com/sharepoint/v3/contenttype/forms"/>
  </ds:schemaRefs>
</ds:datastoreItem>
</file>

<file path=customXml/itemProps6.xml><?xml version="1.0" encoding="utf-8"?>
<ds:datastoreItem xmlns:ds="http://schemas.openxmlformats.org/officeDocument/2006/customXml" ds:itemID="{0260929C-6C98-4EF7-8F7B-8D940404B66F}"/>
</file>

<file path=customXml/itemProps7.xml><?xml version="1.0" encoding="utf-8"?>
<ds:datastoreItem xmlns:ds="http://schemas.openxmlformats.org/officeDocument/2006/customXml" ds:itemID="{9F19B4F7-393F-40F2-9856-30DE331AA86F}"/>
</file>

<file path=docProps/app.xml><?xml version="1.0" encoding="utf-8"?>
<Properties xmlns="http://schemas.openxmlformats.org/officeDocument/2006/extended-properties" xmlns:vt="http://schemas.openxmlformats.org/officeDocument/2006/docPropsVTypes">
  <Template>Report - Supporting document</Template>
  <TotalTime>657</TotalTime>
  <Pages>5</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5064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kennem</dc:creator>
  <cp:keywords/>
  <cp:lastModifiedBy>Tailee Vecchi</cp:lastModifiedBy>
  <cp:revision>35</cp:revision>
  <cp:lastPrinted>2011-08-22T03:30:00Z</cp:lastPrinted>
  <dcterms:created xsi:type="dcterms:W3CDTF">2020-12-21T03:26:00Z</dcterms:created>
  <dcterms:modified xsi:type="dcterms:W3CDTF">2021-11-16T22:33:00Z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eb19ee38-cafb-4e48-9276-bdf2fc7afa3c</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dbf0a4f0-f200-4a06-b53b-fa771da7f63a</vt:lpwstr>
  </property>
  <property fmtid="{D5CDD505-2E9C-101B-9397-08002B2CF9AE}" pid="8" name="RecordPoint_WorkflowType">
    <vt:lpwstr>ActiveSubmitStub</vt:lpwstr>
  </property>
  <property fmtid="{D5CDD505-2E9C-101B-9397-08002B2CF9AE}" pid="9" name="RecordPoint_ActiveItemUniqueId">
    <vt:lpwstr>{dbf0a4f0-f200-4a06-b53b-fa771da7f63a}</vt:lpwstr>
  </property>
  <property fmtid="{D5CDD505-2E9C-101B-9397-08002B2CF9AE}" pid="10" name="RecordPoint_ActiveItemWebId">
    <vt:lpwstr>{97e978f4-511a-4ec7-94bb-bbb94bd0a2f8}</vt:lpwstr>
  </property>
  <property fmtid="{D5CDD505-2E9C-101B-9397-08002B2CF9AE}" pid="11" name="RecordPoint_ActiveItemSiteId">
    <vt:lpwstr>{dd95a578-5c6a-4f11-92f7-f95884d628d6}</vt:lpwstr>
  </property>
  <property fmtid="{D5CDD505-2E9C-101B-9397-08002B2CF9AE}" pid="12" name="RecordPoint_ActiveItemListId">
    <vt:lpwstr>{477daa7b-e292-4da2-aa13-f17fd3269158}</vt:lpwstr>
  </property>
  <property fmtid="{D5CDD505-2E9C-101B-9397-08002B2CF9AE}" pid="13" name="RecordPoint_RecordNumberSubmitted">
    <vt:lpwstr>R0000192721</vt:lpwstr>
  </property>
  <property fmtid="{D5CDD505-2E9C-101B-9397-08002B2CF9AE}" pid="14" name="RecordPoint_SubmissionCompleted">
    <vt:lpwstr>2021-11-07T18:30:43.8627516+11:00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